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64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64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（2022.1</w:t>
      </w:r>
      <w:r>
        <w:rPr>
          <w:rFonts w:ascii="楷体_GB2312" w:hAnsi="楷体_GB2312" w:eastAsia="楷体_GB2312" w:cs="楷体_GB2312"/>
          <w:b/>
          <w:bCs/>
          <w:szCs w:val="32"/>
        </w:rPr>
        <w:t>1</w:t>
      </w:r>
      <w:r>
        <w:rPr>
          <w:rFonts w:hint="eastAsia" w:ascii="楷体_GB2312" w:hAnsi="楷体_GB2312" w:eastAsia="楷体_GB2312" w:cs="楷体_GB2312"/>
          <w:b/>
          <w:bCs/>
          <w:szCs w:val="32"/>
        </w:rPr>
        <w:t>.</w:t>
      </w:r>
      <w:r>
        <w:rPr>
          <w:rFonts w:ascii="楷体_GB2312" w:hAnsi="楷体_GB2312" w:eastAsia="楷体_GB2312" w:cs="楷体_GB2312"/>
          <w:b/>
          <w:bCs/>
          <w:szCs w:val="32"/>
        </w:rPr>
        <w:t>25</w:t>
      </w:r>
      <w:r>
        <w:rPr>
          <w:rFonts w:hint="eastAsia" w:ascii="楷体_GB2312" w:hAnsi="楷体_GB2312" w:eastAsia="楷体_GB2312" w:cs="楷体_GB2312"/>
          <w:b/>
          <w:bCs/>
          <w:szCs w:val="32"/>
        </w:rPr>
        <w:t>）</w:t>
      </w:r>
    </w:p>
    <w:p>
      <w:pPr>
        <w:ind w:firstLine="640"/>
        <w:rPr>
          <w:szCs w:val="32"/>
        </w:rPr>
      </w:pPr>
      <w:r>
        <w:rPr>
          <w:rFonts w:hint="eastAsia"/>
          <w:szCs w:val="32"/>
        </w:rPr>
        <w:t>国能e购将于2022年1</w:t>
      </w:r>
      <w:r>
        <w:rPr>
          <w:szCs w:val="32"/>
        </w:rPr>
        <w:t>1</w:t>
      </w:r>
      <w:r>
        <w:rPr>
          <w:rFonts w:hint="eastAsia"/>
          <w:szCs w:val="32"/>
        </w:rPr>
        <w:t>月</w:t>
      </w:r>
      <w:r>
        <w:rPr>
          <w:szCs w:val="32"/>
        </w:rPr>
        <w:t>25</w:t>
      </w:r>
      <w:r>
        <w:rPr>
          <w:rFonts w:hint="eastAsia"/>
          <w:szCs w:val="32"/>
        </w:rPr>
        <w:t>日19:00进行发版，本次发版主要内容如下：</w:t>
      </w:r>
    </w:p>
    <w:p>
      <w:pPr>
        <w:pStyle w:val="3"/>
        <w:keepNext/>
        <w:keepLines/>
        <w:widowControl w:val="0"/>
        <w:spacing w:before="120" w:line="560" w:lineRule="exact"/>
        <w:ind w:firstLine="640"/>
        <w:rPr>
          <w:rFonts w:hint="default" w:ascii="仿宋_GB2312" w:hAnsi="仿宋_GB2312" w:eastAsia="仿宋_GB2312"/>
          <w:color w:val="000000"/>
          <w:kern w:val="2"/>
          <w:sz w:val="32"/>
          <w:szCs w:val="32"/>
        </w:rPr>
      </w:pPr>
      <w:r>
        <w:rPr>
          <w:rFonts w:ascii="仿宋_GB2312" w:hAnsi="仿宋_GB2312" w:eastAsia="仿宋_GB2312"/>
          <w:b/>
          <w:bCs/>
          <w:color w:val="000000"/>
          <w:kern w:val="2"/>
          <w:sz w:val="32"/>
          <w:szCs w:val="32"/>
        </w:rPr>
        <w:t>一、非招标采购优化</w:t>
      </w:r>
    </w:p>
    <w:p>
      <w:pPr>
        <w:pStyle w:val="3"/>
        <w:keepNext/>
        <w:keepLines/>
        <w:widowControl w:val="0"/>
        <w:numPr>
          <w:ilvl w:val="0"/>
          <w:numId w:val="1"/>
        </w:numPr>
        <w:spacing w:before="120" w:line="560" w:lineRule="exact"/>
        <w:ind w:firstLine="640"/>
        <w:rPr>
          <w:rFonts w:hint="default" w:ascii="仿宋_GB2312" w:hAnsi="仿宋_GB2312" w:eastAsia="仿宋_GB2312"/>
          <w:color w:val="000000"/>
          <w:kern w:val="2"/>
          <w:sz w:val="32"/>
          <w:szCs w:val="32"/>
        </w:rPr>
      </w:pPr>
      <w:r>
        <w:rPr>
          <w:rFonts w:ascii="仿宋_GB2312" w:hAnsi="仿宋_GB2312" w:eastAsia="仿宋_GB2312"/>
          <w:color w:val="000000"/>
          <w:kern w:val="2"/>
          <w:sz w:val="32"/>
          <w:szCs w:val="32"/>
        </w:rPr>
        <w:t>专家培训</w:t>
      </w:r>
    </w:p>
    <w:p>
      <w:pPr>
        <w:ind w:firstLine="640"/>
        <w:rPr>
          <w:szCs w:val="32"/>
        </w:rPr>
      </w:pPr>
      <w:r>
        <w:rPr>
          <w:rFonts w:hint="eastAsia"/>
          <w:szCs w:val="32"/>
        </w:rPr>
        <w:t>新增专家培训模块，专家培训专责可以创建培训资料，培训测试题目及评分标准，支持单选题、多选题和判断题三种题型；可以查看参加培训及尚未参加培训的专家数量及详细参加培训、测试的专家明细。</w:t>
      </w:r>
    </w:p>
    <w:p>
      <w:pPr>
        <w:ind w:firstLine="640"/>
        <w:rPr>
          <w:szCs w:val="32"/>
        </w:rPr>
      </w:pPr>
      <w:r>
        <w:rPr>
          <w:rFonts w:hint="eastAsia"/>
          <w:szCs w:val="32"/>
        </w:rPr>
        <w:t>培训内容发布后，内部专家/外部专家可以参加内部专家/外部专家及所有专家的培训课程、查看及下载培训课件；培训后可以进行培训测试，系统及时反馈测试分数及测试结果是否合格，专家可以多次进行测试，每次测试将更新专家测试分数及测试结果是否合格。</w:t>
      </w:r>
    </w:p>
    <w:p>
      <w:pPr>
        <w:ind w:firstLine="640"/>
        <w:rPr>
          <w:szCs w:val="32"/>
        </w:rPr>
      </w:pPr>
      <w:r>
        <w:rPr>
          <w:rFonts w:hint="eastAsia"/>
          <w:szCs w:val="32"/>
        </w:rPr>
        <w:t>内部专家/外部专家需要在规定时间内完成要求内部专家/外部专家及所有专家必修的课程并且测试合格，才可以被抽选作为评审/谈判小组的专家。</w:t>
      </w:r>
    </w:p>
    <w:p>
      <w:pPr>
        <w:pStyle w:val="3"/>
        <w:keepNext/>
        <w:keepLines/>
        <w:widowControl w:val="0"/>
        <w:numPr>
          <w:ilvl w:val="0"/>
          <w:numId w:val="1"/>
        </w:numPr>
        <w:spacing w:before="120" w:line="560" w:lineRule="exact"/>
        <w:ind w:firstLine="640"/>
        <w:rPr>
          <w:rFonts w:hint="default" w:ascii="仿宋_GB2312" w:hAnsi="仿宋_GB2312" w:eastAsia="仿宋_GB2312"/>
          <w:color w:val="000000"/>
          <w:kern w:val="2"/>
          <w:sz w:val="32"/>
          <w:szCs w:val="32"/>
        </w:rPr>
      </w:pPr>
      <w:r>
        <w:rPr>
          <w:rFonts w:ascii="仿宋_GB2312" w:hAnsi="仿宋_GB2312" w:eastAsia="仿宋_GB2312"/>
          <w:color w:val="000000"/>
          <w:kern w:val="2"/>
          <w:sz w:val="32"/>
          <w:szCs w:val="32"/>
        </w:rPr>
        <w:t>供应商准入注册和基本信息修改页面</w:t>
      </w:r>
    </w:p>
    <w:p>
      <w:pPr>
        <w:ind w:firstLine="640"/>
        <w:rPr>
          <w:szCs w:val="32"/>
        </w:rPr>
      </w:pPr>
      <w:r>
        <w:rPr>
          <w:rFonts w:hint="eastAsia"/>
          <w:szCs w:val="32"/>
        </w:rPr>
        <w:t>在企业授权委托书扫描件下方加红色提示语：“注意，分公司注册的请自拟母公司出具的办理申请注册和参与采购活动的授权委托书与网站固定格式授权委托书一并扫描上传”。</w:t>
      </w:r>
    </w:p>
    <w:p>
      <w:pPr>
        <w:ind w:firstLine="640"/>
        <w:rPr>
          <w:szCs w:val="32"/>
        </w:rPr>
      </w:pPr>
      <w:r>
        <w:rPr>
          <w:rFonts w:hint="eastAsia"/>
          <w:szCs w:val="32"/>
        </w:rPr>
        <w:t>在询比价采购类别下方加红色提示语：“如勾选施工类，请确保您营业执照经营范围包含此类业务”。</w:t>
      </w:r>
    </w:p>
    <w:p>
      <w:pPr>
        <w:ind w:firstLine="640"/>
        <w:rPr>
          <w:szCs w:val="32"/>
        </w:rPr>
      </w:pPr>
      <w:r>
        <w:rPr>
          <w:rFonts w:hint="eastAsia"/>
          <w:szCs w:val="32"/>
        </w:rPr>
        <w:t>在基本账户开户名下方加红色提示语：“在选择账户属性为对公付款，开户名需与公司名称一致”。</w:t>
      </w:r>
    </w:p>
    <w:p>
      <w:pPr>
        <w:pStyle w:val="3"/>
        <w:keepNext/>
        <w:keepLines/>
        <w:widowControl w:val="0"/>
        <w:numPr>
          <w:ilvl w:val="0"/>
          <w:numId w:val="1"/>
        </w:numPr>
        <w:spacing w:before="120" w:line="560" w:lineRule="exact"/>
        <w:ind w:firstLine="640"/>
        <w:rPr>
          <w:rFonts w:hint="default" w:ascii="仿宋_GB2312" w:hAnsi="仿宋_GB2312" w:eastAsia="仿宋_GB2312"/>
          <w:color w:val="000000"/>
          <w:kern w:val="2"/>
          <w:sz w:val="32"/>
          <w:szCs w:val="32"/>
        </w:rPr>
      </w:pPr>
      <w:r>
        <w:rPr>
          <w:rFonts w:ascii="仿宋_GB2312" w:hAnsi="仿宋_GB2312" w:eastAsia="仿宋_GB2312"/>
          <w:color w:val="000000"/>
          <w:kern w:val="2"/>
          <w:sz w:val="32"/>
          <w:szCs w:val="32"/>
        </w:rPr>
        <w:t>报价人资格条件</w:t>
      </w:r>
    </w:p>
    <w:p>
      <w:pPr>
        <w:ind w:firstLine="640"/>
        <w:rPr>
          <w:rFonts w:hint="eastAsia"/>
          <w:szCs w:val="32"/>
        </w:rPr>
      </w:pPr>
      <w:r>
        <w:rPr>
          <w:rFonts w:hint="eastAsia"/>
          <w:szCs w:val="32"/>
        </w:rPr>
        <w:t>供应商报价详情页和采购报告中查看供应商报价详情页的项目信息中，展示询价单的报价人资格条件。</w:t>
      </w:r>
    </w:p>
    <w:p>
      <w:pPr>
        <w:pStyle w:val="3"/>
        <w:keepNext/>
        <w:keepLines/>
        <w:widowControl w:val="0"/>
        <w:numPr>
          <w:ilvl w:val="0"/>
          <w:numId w:val="1"/>
        </w:numPr>
        <w:spacing w:before="120" w:line="560" w:lineRule="exact"/>
        <w:ind w:firstLine="640"/>
        <w:rPr>
          <w:rFonts w:hint="default" w:ascii="仿宋_GB2312" w:hAnsi="仿宋_GB2312" w:eastAsia="仿宋_GB2312"/>
          <w:color w:val="000000"/>
          <w:kern w:val="2"/>
          <w:sz w:val="32"/>
          <w:szCs w:val="32"/>
          <w:lang w:val="en-US" w:eastAsia="zh-CN"/>
        </w:rPr>
      </w:pPr>
      <w:r>
        <w:rPr>
          <w:rFonts w:hint="eastAsia" w:ascii="仿宋_GB2312" w:hAnsi="仿宋_GB2312" w:eastAsia="仿宋_GB2312"/>
          <w:color w:val="000000"/>
          <w:kern w:val="2"/>
          <w:sz w:val="32"/>
          <w:szCs w:val="32"/>
          <w:lang w:val="en-US" w:eastAsia="zh-CN"/>
        </w:rPr>
        <w:t>竞价应用问题优化</w:t>
      </w:r>
    </w:p>
    <w:p>
      <w:pPr>
        <w:numPr>
          <w:ilvl w:val="0"/>
          <w:numId w:val="2"/>
        </w:numPr>
        <w:rPr>
          <w:rFonts w:hint="eastAsia"/>
          <w:color w:val="000000"/>
          <w:kern w:val="2"/>
          <w:sz w:val="32"/>
          <w:szCs w:val="32"/>
          <w:lang w:val="en-US" w:eastAsia="zh-CN"/>
        </w:rPr>
      </w:pPr>
      <w:r>
        <w:rPr>
          <w:rFonts w:hint="eastAsia"/>
          <w:color w:val="000000"/>
          <w:kern w:val="2"/>
          <w:sz w:val="32"/>
          <w:szCs w:val="32"/>
          <w:lang w:val="en-US" w:eastAsia="zh-CN"/>
        </w:rPr>
        <w:t>竞价结束后，竞价大厅向询价中心同步推送实际竞价结束时间，以便报表统计；</w:t>
      </w:r>
    </w:p>
    <w:p>
      <w:pPr>
        <w:numPr>
          <w:ilvl w:val="0"/>
          <w:numId w:val="2"/>
        </w:numPr>
        <w:rPr>
          <w:rFonts w:hint="eastAsia"/>
          <w:color w:val="000000"/>
          <w:kern w:val="2"/>
          <w:sz w:val="32"/>
          <w:szCs w:val="32"/>
          <w:lang w:val="en-US" w:eastAsia="zh-CN"/>
        </w:rPr>
      </w:pPr>
      <w:r>
        <w:rPr>
          <w:rFonts w:hint="eastAsia"/>
          <w:color w:val="000000"/>
          <w:kern w:val="2"/>
          <w:sz w:val="32"/>
          <w:szCs w:val="32"/>
          <w:lang w:val="en-US" w:eastAsia="zh-CN"/>
        </w:rPr>
        <w:t>优化了竞价结束后竞价大厅的显示问题，根据竞价类型，竞低价的项目显示最低价格，竞高价的项目显示最高价格；</w:t>
      </w:r>
    </w:p>
    <w:p>
      <w:pPr>
        <w:numPr>
          <w:ilvl w:val="0"/>
          <w:numId w:val="2"/>
        </w:numPr>
        <w:rPr>
          <w:rFonts w:hint="eastAsia"/>
          <w:color w:val="000000"/>
          <w:kern w:val="2"/>
          <w:sz w:val="32"/>
          <w:szCs w:val="32"/>
          <w:lang w:val="en-US" w:eastAsia="zh-CN"/>
        </w:rPr>
      </w:pPr>
      <w:r>
        <w:rPr>
          <w:rFonts w:hint="eastAsia"/>
          <w:color w:val="000000"/>
          <w:kern w:val="2"/>
          <w:sz w:val="32"/>
          <w:szCs w:val="32"/>
          <w:lang w:val="en-US" w:eastAsia="zh-CN"/>
        </w:rPr>
        <w:t>修复了竞价大厅报价页面显示不稳定问题；</w:t>
      </w:r>
    </w:p>
    <w:p>
      <w:pPr>
        <w:numPr>
          <w:ilvl w:val="0"/>
          <w:numId w:val="2"/>
        </w:numPr>
        <w:rPr>
          <w:rFonts w:hint="eastAsia"/>
          <w:color w:val="000000"/>
          <w:kern w:val="2"/>
          <w:sz w:val="32"/>
          <w:szCs w:val="32"/>
          <w:lang w:val="en-US" w:eastAsia="zh-CN"/>
        </w:rPr>
      </w:pPr>
      <w:r>
        <w:rPr>
          <w:rFonts w:hint="eastAsia"/>
          <w:color w:val="000000"/>
          <w:kern w:val="2"/>
          <w:sz w:val="32"/>
          <w:szCs w:val="32"/>
          <w:lang w:val="en-US" w:eastAsia="zh-CN"/>
        </w:rPr>
        <w:t>修复了二挂项目生成多条评审数据的问题；</w:t>
      </w:r>
    </w:p>
    <w:p>
      <w:pPr>
        <w:pStyle w:val="3"/>
        <w:keepNext/>
        <w:keepLines/>
        <w:widowControl w:val="0"/>
        <w:spacing w:before="120" w:line="560" w:lineRule="exact"/>
        <w:ind w:firstLine="640"/>
        <w:rPr>
          <w:rFonts w:hint="default" w:ascii="仿宋_GB2312" w:hAnsi="仿宋_GB2312" w:eastAsia="仿宋_GB2312"/>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二</w:t>
      </w:r>
      <w:r>
        <w:rPr>
          <w:rFonts w:ascii="仿宋_GB2312" w:hAnsi="仿宋_GB2312" w:eastAsia="仿宋_GB2312"/>
          <w:b/>
          <w:bCs/>
          <w:color w:val="000000"/>
          <w:kern w:val="2"/>
          <w:sz w:val="32"/>
          <w:szCs w:val="32"/>
        </w:rPr>
        <w:t>、</w:t>
      </w:r>
      <w:r>
        <w:rPr>
          <w:rFonts w:hint="eastAsia" w:ascii="仿宋_GB2312" w:hAnsi="仿宋_GB2312" w:eastAsia="仿宋_GB2312"/>
          <w:b/>
          <w:bCs/>
          <w:color w:val="000000"/>
          <w:kern w:val="2"/>
          <w:sz w:val="32"/>
          <w:szCs w:val="32"/>
          <w:lang w:val="en-US" w:eastAsia="zh-CN"/>
        </w:rPr>
        <w:t>商城功能优化</w:t>
      </w:r>
    </w:p>
    <w:p>
      <w:pPr>
        <w:keepNext w:val="0"/>
        <w:keepLines w:val="0"/>
        <w:pageBreakBefore w:val="0"/>
        <w:widowControl/>
        <w:numPr>
          <w:ilvl w:val="0"/>
          <w:numId w:val="3"/>
        </w:numPr>
        <w:tabs>
          <w:tab w:val="left" w:pos="960"/>
          <w:tab w:val="clear" w:pos="840"/>
        </w:tabs>
        <w:kinsoku/>
        <w:wordWrap/>
        <w:overflowPunct/>
        <w:topLinePunct w:val="0"/>
        <w:autoSpaceDE/>
        <w:autoSpaceDN/>
        <w:bidi w:val="0"/>
        <w:adjustRightInd/>
        <w:snapToGrid/>
        <w:spacing w:line="560" w:lineRule="exact"/>
        <w:ind w:left="958" w:leftChars="0" w:right="160" w:rightChars="50" w:hanging="317" w:firstLineChars="0"/>
        <w:textAlignment w:val="auto"/>
        <w:outlineLvl w:val="0"/>
        <w:rPr>
          <w:rFonts w:hint="eastAsia"/>
          <w:szCs w:val="32"/>
        </w:rPr>
      </w:pPr>
      <w:r>
        <w:rPr>
          <w:rFonts w:hint="eastAsia"/>
          <w:szCs w:val="32"/>
        </w:rPr>
        <w:t>商品列表中增加</w:t>
      </w:r>
      <w:r>
        <w:rPr>
          <w:rFonts w:hint="eastAsia"/>
          <w:szCs w:val="32"/>
          <w:lang w:val="en-US" w:eastAsia="zh-CN"/>
        </w:rPr>
        <w:t>对</w:t>
      </w:r>
      <w:r>
        <w:rPr>
          <w:rFonts w:hint="eastAsia"/>
          <w:szCs w:val="32"/>
        </w:rPr>
        <w:t>事中调价、事前调价商品</w:t>
      </w:r>
      <w:r>
        <w:rPr>
          <w:rFonts w:hint="eastAsia"/>
          <w:szCs w:val="32"/>
          <w:lang w:val="en-US" w:eastAsia="zh-CN"/>
        </w:rPr>
        <w:t>的</w:t>
      </w:r>
      <w:r>
        <w:rPr>
          <w:rFonts w:hint="eastAsia"/>
          <w:szCs w:val="32"/>
        </w:rPr>
        <w:t>显著标识。</w:t>
      </w:r>
    </w:p>
    <w:p>
      <w:pPr>
        <w:keepNext w:val="0"/>
        <w:keepLines w:val="0"/>
        <w:pageBreakBefore w:val="0"/>
        <w:widowControl/>
        <w:numPr>
          <w:ilvl w:val="0"/>
          <w:numId w:val="3"/>
        </w:numPr>
        <w:tabs>
          <w:tab w:val="left" w:pos="960"/>
          <w:tab w:val="clear" w:pos="840"/>
        </w:tabs>
        <w:kinsoku/>
        <w:wordWrap/>
        <w:overflowPunct/>
        <w:topLinePunct w:val="0"/>
        <w:autoSpaceDE/>
        <w:autoSpaceDN/>
        <w:bidi w:val="0"/>
        <w:adjustRightInd/>
        <w:snapToGrid/>
        <w:spacing w:line="560" w:lineRule="exact"/>
        <w:ind w:left="958" w:leftChars="0" w:right="160" w:rightChars="50" w:hanging="317" w:firstLineChars="0"/>
        <w:textAlignment w:val="auto"/>
        <w:outlineLvl w:val="0"/>
        <w:rPr>
          <w:rFonts w:hint="eastAsia"/>
          <w:szCs w:val="32"/>
        </w:rPr>
      </w:pPr>
      <w:r>
        <w:rPr>
          <w:rFonts w:hint="eastAsia"/>
          <w:szCs w:val="32"/>
        </w:rPr>
        <w:t>商品详情页增加商品动态提醒功能，从商品到期前30天开始提醒。</w:t>
      </w:r>
    </w:p>
    <w:p>
      <w:pPr>
        <w:keepNext w:val="0"/>
        <w:keepLines w:val="0"/>
        <w:pageBreakBefore w:val="0"/>
        <w:widowControl/>
        <w:numPr>
          <w:ilvl w:val="0"/>
          <w:numId w:val="3"/>
        </w:numPr>
        <w:tabs>
          <w:tab w:val="left" w:pos="960"/>
          <w:tab w:val="clear" w:pos="840"/>
        </w:tabs>
        <w:kinsoku/>
        <w:wordWrap/>
        <w:overflowPunct/>
        <w:topLinePunct w:val="0"/>
        <w:autoSpaceDE/>
        <w:autoSpaceDN/>
        <w:bidi w:val="0"/>
        <w:adjustRightInd/>
        <w:snapToGrid/>
        <w:spacing w:line="560" w:lineRule="exact"/>
        <w:ind w:left="958" w:leftChars="0" w:right="160" w:rightChars="50" w:hanging="317" w:firstLineChars="0"/>
        <w:textAlignment w:val="auto"/>
        <w:outlineLvl w:val="0"/>
        <w:rPr>
          <w:rFonts w:hint="eastAsia"/>
          <w:szCs w:val="32"/>
        </w:rPr>
      </w:pPr>
      <w:r>
        <w:rPr>
          <w:rFonts w:hint="eastAsia"/>
          <w:szCs w:val="32"/>
        </w:rPr>
        <w:t>商城增加对失信供应商业务校验。</w:t>
      </w:r>
    </w:p>
    <w:p>
      <w:pPr>
        <w:keepNext w:val="0"/>
        <w:keepLines w:val="0"/>
        <w:pageBreakBefore w:val="0"/>
        <w:widowControl/>
        <w:numPr>
          <w:ilvl w:val="0"/>
          <w:numId w:val="3"/>
        </w:numPr>
        <w:tabs>
          <w:tab w:val="left" w:pos="960"/>
          <w:tab w:val="clear" w:pos="840"/>
        </w:tabs>
        <w:kinsoku/>
        <w:wordWrap/>
        <w:overflowPunct/>
        <w:topLinePunct w:val="0"/>
        <w:autoSpaceDE/>
        <w:autoSpaceDN/>
        <w:bidi w:val="0"/>
        <w:adjustRightInd/>
        <w:snapToGrid/>
        <w:spacing w:line="560" w:lineRule="exact"/>
        <w:ind w:left="958" w:leftChars="0" w:right="160" w:rightChars="50" w:hanging="317" w:firstLineChars="0"/>
        <w:textAlignment w:val="auto"/>
        <w:outlineLvl w:val="0"/>
        <w:rPr>
          <w:rFonts w:hint="eastAsia"/>
          <w:szCs w:val="32"/>
        </w:rPr>
      </w:pPr>
      <w:r>
        <w:rPr>
          <w:rFonts w:hint="eastAsia"/>
          <w:szCs w:val="32"/>
        </w:rPr>
        <w:t>协议生效、失效节点发送短信时，增加“集团集采协议”校验，只发送集团集采协议相关短信。</w:t>
      </w:r>
    </w:p>
    <w:p>
      <w:pPr>
        <w:keepNext w:val="0"/>
        <w:keepLines w:val="0"/>
        <w:pageBreakBefore w:val="0"/>
        <w:widowControl/>
        <w:numPr>
          <w:ilvl w:val="0"/>
          <w:numId w:val="3"/>
        </w:numPr>
        <w:tabs>
          <w:tab w:val="left" w:pos="960"/>
          <w:tab w:val="clear" w:pos="840"/>
        </w:tabs>
        <w:kinsoku/>
        <w:wordWrap/>
        <w:overflowPunct/>
        <w:topLinePunct w:val="0"/>
        <w:autoSpaceDE/>
        <w:autoSpaceDN/>
        <w:bidi w:val="0"/>
        <w:adjustRightInd/>
        <w:snapToGrid/>
        <w:spacing w:line="560" w:lineRule="exact"/>
        <w:ind w:left="958" w:leftChars="0" w:right="160" w:rightChars="50" w:hanging="317" w:firstLineChars="0"/>
        <w:textAlignment w:val="auto"/>
        <w:outlineLvl w:val="0"/>
        <w:rPr>
          <w:rFonts w:hint="eastAsia"/>
          <w:szCs w:val="32"/>
        </w:rPr>
      </w:pPr>
      <w:r>
        <w:rPr>
          <w:rFonts w:hint="eastAsia"/>
          <w:szCs w:val="32"/>
          <w:lang w:val="en-US" w:eastAsia="zh-CN"/>
        </w:rPr>
        <w:t>配合京东侧系统升级，进行京东接口域名切换。</w:t>
      </w:r>
    </w:p>
    <w:p>
      <w:pPr>
        <w:pStyle w:val="3"/>
        <w:keepNext/>
        <w:keepLines/>
        <w:widowControl w:val="0"/>
        <w:spacing w:before="120" w:line="560" w:lineRule="exact"/>
        <w:ind w:firstLine="640"/>
        <w:rPr>
          <w:rFonts w:hint="default" w:ascii="仿宋_GB2312" w:hAnsi="仿宋_GB2312" w:eastAsia="仿宋_GB2312"/>
          <w:color w:val="000000"/>
          <w:kern w:val="2"/>
          <w:sz w:val="32"/>
          <w:szCs w:val="32"/>
        </w:rPr>
      </w:pPr>
      <w:r>
        <w:rPr>
          <w:rFonts w:hint="eastAsia" w:ascii="仿宋_GB2312" w:hAnsi="仿宋_GB2312" w:eastAsia="仿宋_GB2312"/>
          <w:b/>
          <w:bCs/>
          <w:color w:val="000000"/>
          <w:kern w:val="2"/>
          <w:sz w:val="32"/>
          <w:szCs w:val="32"/>
          <w:lang w:val="en-US" w:eastAsia="zh-CN"/>
        </w:rPr>
        <w:t>三</w:t>
      </w:r>
      <w:r>
        <w:rPr>
          <w:rFonts w:ascii="仿宋_GB2312" w:hAnsi="仿宋_GB2312" w:eastAsia="仿宋_GB2312"/>
          <w:b/>
          <w:bCs/>
          <w:color w:val="000000"/>
          <w:kern w:val="2"/>
          <w:sz w:val="32"/>
          <w:szCs w:val="32"/>
        </w:rPr>
        <w:t>、</w:t>
      </w:r>
      <w:r>
        <w:rPr>
          <w:rFonts w:hint="eastAsia" w:ascii="仿宋_GB2312" w:hAnsi="仿宋_GB2312" w:eastAsia="仿宋_GB2312"/>
          <w:b/>
          <w:bCs/>
          <w:color w:val="000000"/>
          <w:kern w:val="2"/>
          <w:sz w:val="32"/>
          <w:szCs w:val="32"/>
          <w:lang w:val="en-US" w:eastAsia="zh-CN"/>
        </w:rPr>
        <w:t>报表中心</w:t>
      </w:r>
      <w:r>
        <w:rPr>
          <w:rFonts w:ascii="仿宋_GB2312" w:hAnsi="仿宋_GB2312" w:eastAsia="仿宋_GB2312"/>
          <w:b/>
          <w:bCs/>
          <w:color w:val="000000"/>
          <w:kern w:val="2"/>
          <w:sz w:val="32"/>
          <w:szCs w:val="32"/>
        </w:rPr>
        <w:t>优化</w:t>
      </w:r>
    </w:p>
    <w:p>
      <w:pPr>
        <w:pStyle w:val="3"/>
        <w:keepNext/>
        <w:keepLines/>
        <w:widowControl w:val="0"/>
        <w:numPr>
          <w:ilvl w:val="0"/>
          <w:numId w:val="4"/>
        </w:numPr>
        <w:spacing w:before="120" w:line="560" w:lineRule="exact"/>
        <w:ind w:firstLine="640"/>
        <w:rPr>
          <w:rFonts w:hint="default"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val="en-US" w:eastAsia="zh-CN"/>
        </w:rPr>
        <w:t>采购数量、金额统计表</w:t>
      </w:r>
    </w:p>
    <w:p>
      <w:pPr>
        <w:ind w:firstLine="640"/>
        <w:rPr>
          <w:rFonts w:hint="default"/>
          <w:szCs w:val="32"/>
          <w:lang w:val="en-US"/>
        </w:rPr>
      </w:pPr>
      <w:r>
        <w:rPr>
          <w:rFonts w:hint="eastAsia"/>
          <w:szCs w:val="32"/>
          <w:lang w:val="en-US" w:eastAsia="zh-CN"/>
        </w:rPr>
        <w:t>优化“专业板块”统计方式，补充为当前全部计划类型数据；</w:t>
      </w:r>
      <w:r>
        <w:rPr>
          <w:rFonts w:hint="eastAsia" w:ascii="仿宋_GB2312" w:hAnsi="仿宋_GB2312" w:eastAsia="仿宋_GB2312"/>
          <w:color w:val="000000"/>
          <w:kern w:val="2"/>
          <w:sz w:val="32"/>
          <w:szCs w:val="32"/>
          <w:lang w:val="en-US" w:eastAsia="zh-CN"/>
        </w:rPr>
        <w:t>采购数量、金额统计表</w:t>
      </w:r>
      <w:r>
        <w:rPr>
          <w:rFonts w:hint="eastAsia"/>
          <w:color w:val="000000"/>
          <w:kern w:val="2"/>
          <w:sz w:val="32"/>
          <w:szCs w:val="32"/>
          <w:lang w:val="en-US" w:eastAsia="zh-CN"/>
        </w:rPr>
        <w:t>明细表新增新增“物资类别”、“采购方式/评审方法”、“专业板块”、“配送方式”、“币种”列。</w:t>
      </w:r>
    </w:p>
    <w:p>
      <w:pPr>
        <w:pStyle w:val="3"/>
        <w:keepNext/>
        <w:keepLines/>
        <w:widowControl w:val="0"/>
        <w:numPr>
          <w:ilvl w:val="0"/>
          <w:numId w:val="4"/>
        </w:numPr>
        <w:spacing w:before="120" w:line="560" w:lineRule="exact"/>
        <w:ind w:firstLine="640"/>
        <w:rPr>
          <w:rFonts w:hint="default"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val="en-US" w:eastAsia="zh-CN"/>
        </w:rPr>
        <w:t>绩效打分统计表</w:t>
      </w:r>
    </w:p>
    <w:p>
      <w:pPr>
        <w:ind w:firstLine="640"/>
        <w:rPr>
          <w:rFonts w:hint="default"/>
          <w:szCs w:val="32"/>
          <w:lang w:val="en-US"/>
        </w:rPr>
      </w:pPr>
      <w:r>
        <w:rPr>
          <w:rFonts w:hint="eastAsia"/>
          <w:szCs w:val="32"/>
          <w:lang w:val="en-US" w:eastAsia="zh-CN"/>
        </w:rPr>
        <w:t>根据新版年度经营业绩考核管理办法，更新非招标考核指标打分逻辑，新增关注指标、效能系数相关指标报表界面</w:t>
      </w:r>
      <w:r>
        <w:rPr>
          <w:rFonts w:hint="eastAsia"/>
          <w:color w:val="000000"/>
          <w:kern w:val="2"/>
          <w:sz w:val="32"/>
          <w:szCs w:val="32"/>
          <w:lang w:val="en-US" w:eastAsia="zh-CN"/>
        </w:rPr>
        <w:t>。</w:t>
      </w:r>
    </w:p>
    <w:p>
      <w:pPr>
        <w:pStyle w:val="3"/>
        <w:keepNext/>
        <w:keepLines/>
        <w:widowControl w:val="0"/>
        <w:numPr>
          <w:ilvl w:val="0"/>
          <w:numId w:val="4"/>
        </w:numPr>
        <w:spacing w:before="120" w:line="560" w:lineRule="exact"/>
        <w:ind w:firstLine="640"/>
        <w:rPr>
          <w:rFonts w:hint="default" w:ascii="仿宋_GB2312" w:hAnsi="仿宋_GB2312" w:eastAsia="仿宋_GB2312"/>
          <w:color w:val="000000"/>
          <w:kern w:val="2"/>
          <w:sz w:val="32"/>
          <w:szCs w:val="32"/>
        </w:rPr>
      </w:pPr>
      <w:r>
        <w:rPr>
          <w:rFonts w:hint="eastAsia" w:ascii="仿宋_GB2312" w:hAnsi="仿宋_GB2312" w:eastAsia="仿宋_GB2312"/>
          <w:color w:val="000000"/>
          <w:kern w:val="2"/>
          <w:sz w:val="32"/>
          <w:szCs w:val="32"/>
          <w:lang w:val="en-US" w:eastAsia="zh-CN"/>
        </w:rPr>
        <w:t>新竞价业务数据处理</w:t>
      </w:r>
    </w:p>
    <w:p>
      <w:pPr>
        <w:ind w:firstLine="640"/>
        <w:rPr>
          <w:rFonts w:hint="default" w:cs="Times New Roman"/>
          <w:szCs w:val="32"/>
          <w:lang w:val="en-US" w:eastAsia="zh-CN"/>
        </w:rPr>
      </w:pPr>
      <w:r>
        <w:rPr>
          <w:rFonts w:hint="eastAsia" w:cs="Times New Roman"/>
          <w:szCs w:val="32"/>
          <w:lang w:val="en-US" w:eastAsia="zh-CN"/>
        </w:rPr>
        <w:t>经业务管理部确认，不对2022年度新竞价业务进行考核，对底层数据做限制，使22年度新竞价数据不进入对标指标统计表-历史数据、关键指标数据同环比、绩效打分统计表、采购各阶段用时统计表-历史数据报表统计范围。</w:t>
      </w:r>
    </w:p>
    <w:p>
      <w:pPr>
        <w:pStyle w:val="3"/>
        <w:keepNext/>
        <w:keepLines/>
        <w:widowControl w:val="0"/>
        <w:spacing w:before="120" w:line="560" w:lineRule="exact"/>
        <w:ind w:firstLine="640"/>
        <w:rPr>
          <w:rFonts w:hint="default" w:ascii="仿宋_GB2312" w:hAnsi="仿宋_GB2312" w:eastAsia="仿宋_GB2312"/>
          <w:color w:val="000000"/>
          <w:kern w:val="2"/>
          <w:sz w:val="32"/>
          <w:szCs w:val="32"/>
          <w:lang w:val="en-US"/>
        </w:rPr>
      </w:pPr>
      <w:r>
        <w:rPr>
          <w:rFonts w:hint="eastAsia" w:ascii="仿宋_GB2312" w:hAnsi="仿宋_GB2312" w:eastAsia="仿宋_GB2312"/>
          <w:b/>
          <w:bCs/>
          <w:color w:val="000000"/>
          <w:kern w:val="2"/>
          <w:sz w:val="32"/>
          <w:szCs w:val="32"/>
          <w:lang w:val="en-US" w:eastAsia="zh-CN"/>
        </w:rPr>
        <w:t>四</w:t>
      </w:r>
      <w:r>
        <w:rPr>
          <w:rFonts w:ascii="仿宋_GB2312" w:hAnsi="仿宋_GB2312" w:eastAsia="仿宋_GB2312"/>
          <w:b/>
          <w:bCs/>
          <w:color w:val="000000"/>
          <w:kern w:val="2"/>
          <w:sz w:val="32"/>
          <w:szCs w:val="32"/>
        </w:rPr>
        <w:t>、</w:t>
      </w:r>
      <w:r>
        <w:rPr>
          <w:rFonts w:hint="eastAsia" w:ascii="仿宋_GB2312" w:hAnsi="仿宋_GB2312" w:eastAsia="仿宋_GB2312"/>
          <w:b/>
          <w:bCs/>
          <w:color w:val="000000"/>
          <w:kern w:val="2"/>
          <w:sz w:val="32"/>
          <w:szCs w:val="32"/>
          <w:lang w:val="en-US" w:eastAsia="zh-CN"/>
        </w:rPr>
        <w:t>产品专家库功能</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产品专家维护</w:t>
      </w:r>
    </w:p>
    <w:p>
      <w:pPr>
        <w:ind w:firstLine="640"/>
        <w:rPr>
          <w:rFonts w:hint="default"/>
          <w:szCs w:val="32"/>
          <w:lang w:val="en-US"/>
        </w:rPr>
      </w:pPr>
      <w:r>
        <w:rPr>
          <w:rFonts w:hint="default"/>
          <w:szCs w:val="32"/>
          <w:lang w:val="en-US"/>
        </w:rPr>
        <w:t>产品专家新增、修改、出库流程的发起</w:t>
      </w:r>
      <w:r>
        <w:rPr>
          <w:rFonts w:hint="eastAsia"/>
          <w:szCs w:val="32"/>
          <w:lang w:val="en-US" w:eastAsia="zh-CN"/>
        </w:rPr>
        <w:t>，产品专家信息查询</w:t>
      </w:r>
      <w:r>
        <w:rPr>
          <w:rFonts w:hint="default"/>
          <w:szCs w:val="32"/>
          <w:lang w:val="en-US"/>
        </w:rPr>
        <w:t>。</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产品专家审核</w:t>
      </w:r>
    </w:p>
    <w:p>
      <w:pPr>
        <w:ind w:firstLine="640"/>
        <w:rPr>
          <w:rFonts w:hint="default"/>
          <w:szCs w:val="32"/>
          <w:lang w:val="en-US"/>
        </w:rPr>
      </w:pPr>
      <w:r>
        <w:rPr>
          <w:rFonts w:hint="eastAsia"/>
          <w:szCs w:val="32"/>
          <w:lang w:val="en-US" w:eastAsia="zh-CN"/>
        </w:rPr>
        <w:t>产品</w:t>
      </w:r>
      <w:r>
        <w:rPr>
          <w:rFonts w:hint="eastAsia"/>
          <w:szCs w:val="32"/>
        </w:rPr>
        <w:t>专家</w:t>
      </w:r>
      <w:r>
        <w:rPr>
          <w:rFonts w:hint="default"/>
          <w:szCs w:val="32"/>
          <w:lang w:val="en-US"/>
        </w:rPr>
        <w:t>新增、修改、出库流程的</w:t>
      </w:r>
      <w:r>
        <w:rPr>
          <w:rFonts w:hint="eastAsia"/>
          <w:szCs w:val="32"/>
          <w:lang w:val="en-US" w:eastAsia="zh-CN"/>
        </w:rPr>
        <w:t>审核，待审核、已审核的查询</w:t>
      </w:r>
      <w:r>
        <w:rPr>
          <w:rFonts w:hint="eastAsia"/>
          <w:szCs w:val="32"/>
        </w:rPr>
        <w:t>。</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铺货项目管理</w:t>
      </w:r>
    </w:p>
    <w:p>
      <w:pPr>
        <w:ind w:firstLine="640"/>
        <w:rPr>
          <w:rFonts w:hint="default" w:cs="Times New Roman"/>
          <w:szCs w:val="32"/>
          <w:lang w:val="en-US" w:eastAsia="zh-CN"/>
        </w:rPr>
      </w:pPr>
      <w:r>
        <w:rPr>
          <w:rFonts w:hint="eastAsia"/>
          <w:szCs w:val="32"/>
          <w:lang w:val="en-US" w:eastAsia="zh-CN"/>
        </w:rPr>
        <w:t>铺货项目的新增、查询</w:t>
      </w:r>
      <w:r>
        <w:rPr>
          <w:rFonts w:hint="default"/>
          <w:szCs w:val="32"/>
          <w:lang w:val="en-US"/>
        </w:rPr>
        <w:t>。</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铺货评审组建</w:t>
      </w:r>
    </w:p>
    <w:p>
      <w:pPr>
        <w:ind w:firstLine="640"/>
        <w:rPr>
          <w:rFonts w:hint="default"/>
          <w:szCs w:val="32"/>
          <w:lang w:val="en-US"/>
        </w:rPr>
      </w:pPr>
      <w:r>
        <w:rPr>
          <w:rFonts w:hint="eastAsia"/>
          <w:szCs w:val="32"/>
          <w:lang w:val="en-US" w:eastAsia="zh-CN"/>
        </w:rPr>
        <w:t>铺货评审组建的新增、查询，每次组建时选择评审时间、此次评审的铺货项目及阶段、参与评审的产品专家。</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铺货评审组建审核</w:t>
      </w:r>
    </w:p>
    <w:p>
      <w:pPr>
        <w:ind w:firstLine="640"/>
        <w:rPr>
          <w:rFonts w:hint="default" w:cs="Times New Roman"/>
          <w:szCs w:val="32"/>
          <w:lang w:val="en-US" w:eastAsia="zh-CN"/>
        </w:rPr>
      </w:pPr>
      <w:r>
        <w:rPr>
          <w:rFonts w:hint="default"/>
          <w:szCs w:val="32"/>
          <w:lang w:val="en-US"/>
        </w:rPr>
        <w:t>铺货评审组建新增的</w:t>
      </w:r>
      <w:r>
        <w:rPr>
          <w:rFonts w:hint="eastAsia"/>
          <w:szCs w:val="32"/>
          <w:lang w:val="en-US" w:eastAsia="zh-CN"/>
        </w:rPr>
        <w:t>审核，待审核、已审核的查询</w:t>
      </w:r>
      <w:r>
        <w:rPr>
          <w:rFonts w:hint="eastAsia"/>
          <w:szCs w:val="32"/>
        </w:rPr>
        <w:t>。</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产品专家评价</w:t>
      </w:r>
    </w:p>
    <w:p>
      <w:pPr>
        <w:ind w:firstLine="640"/>
        <w:rPr>
          <w:rFonts w:hint="default"/>
          <w:szCs w:val="32"/>
          <w:lang w:val="en-US"/>
        </w:rPr>
      </w:pPr>
      <w:r>
        <w:rPr>
          <w:rFonts w:hint="eastAsia"/>
          <w:szCs w:val="32"/>
          <w:lang w:val="en-US" w:eastAsia="zh-CN"/>
        </w:rPr>
        <w:t>铺货评审组建通过审核后，对所选择的参评产品专家进行评价</w:t>
      </w:r>
      <w:r>
        <w:rPr>
          <w:rFonts w:hint="eastAsia"/>
          <w:szCs w:val="32"/>
        </w:rPr>
        <w:t>。</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产品专家费发放登记</w:t>
      </w:r>
    </w:p>
    <w:p>
      <w:pPr>
        <w:ind w:firstLine="640"/>
        <w:rPr>
          <w:rFonts w:hint="default" w:cs="Times New Roman"/>
          <w:szCs w:val="32"/>
          <w:lang w:val="en-US" w:eastAsia="zh-CN"/>
        </w:rPr>
      </w:pPr>
      <w:r>
        <w:rPr>
          <w:rFonts w:hint="eastAsia"/>
          <w:szCs w:val="32"/>
          <w:lang w:val="en-US" w:eastAsia="zh-CN"/>
        </w:rPr>
        <w:t>铺货评审组建通过审核且参评产品专家评价完毕后，登记产品专家评审费发放情况</w:t>
      </w:r>
      <w:r>
        <w:rPr>
          <w:rFonts w:hint="eastAsia"/>
          <w:szCs w:val="32"/>
        </w:rPr>
        <w:t>。</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产品专家费发放登记审核</w:t>
      </w:r>
    </w:p>
    <w:p>
      <w:pPr>
        <w:ind w:firstLine="640"/>
        <w:rPr>
          <w:rFonts w:hint="default"/>
          <w:szCs w:val="32"/>
          <w:lang w:val="en-US"/>
        </w:rPr>
      </w:pPr>
      <w:r>
        <w:rPr>
          <w:rFonts w:hint="default" w:ascii="仿宋_GB2312" w:hAnsi="仿宋_GB2312" w:eastAsia="仿宋_GB2312"/>
          <w:color w:val="000000"/>
          <w:kern w:val="2"/>
          <w:sz w:val="32"/>
          <w:szCs w:val="32"/>
        </w:rPr>
        <w:t>产品专家费发放登记</w:t>
      </w:r>
      <w:r>
        <w:rPr>
          <w:rFonts w:hint="default"/>
          <w:szCs w:val="32"/>
          <w:lang w:val="en-US"/>
        </w:rPr>
        <w:t>的</w:t>
      </w:r>
      <w:r>
        <w:rPr>
          <w:rFonts w:hint="eastAsia"/>
          <w:szCs w:val="32"/>
          <w:lang w:val="en-US" w:eastAsia="zh-CN"/>
        </w:rPr>
        <w:t>审核，待审核、已审核的查询</w:t>
      </w:r>
      <w:r>
        <w:rPr>
          <w:rFonts w:hint="eastAsia"/>
          <w:szCs w:val="32"/>
        </w:rPr>
        <w:t>。</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铺货评审组建审核</w:t>
      </w:r>
    </w:p>
    <w:p>
      <w:pPr>
        <w:ind w:firstLine="640"/>
        <w:rPr>
          <w:rFonts w:hint="default" w:cs="Times New Roman"/>
          <w:szCs w:val="32"/>
          <w:lang w:val="en-US" w:eastAsia="zh-CN"/>
        </w:rPr>
      </w:pPr>
      <w:r>
        <w:rPr>
          <w:rFonts w:hint="default"/>
          <w:szCs w:val="32"/>
          <w:lang w:val="en-US"/>
        </w:rPr>
        <w:t>铺货评审组建新增的</w:t>
      </w:r>
      <w:r>
        <w:rPr>
          <w:rFonts w:hint="eastAsia"/>
          <w:szCs w:val="32"/>
          <w:lang w:val="en-US" w:eastAsia="zh-CN"/>
        </w:rPr>
        <w:t>审核，待审核、已审核的查询</w:t>
      </w:r>
      <w:r>
        <w:rPr>
          <w:rFonts w:hint="eastAsia"/>
          <w:szCs w:val="32"/>
        </w:rPr>
        <w:t>。</w:t>
      </w:r>
    </w:p>
    <w:p>
      <w:pPr>
        <w:pStyle w:val="3"/>
        <w:keepNext/>
        <w:keepLines/>
        <w:widowControl w:val="0"/>
        <w:numPr>
          <w:ilvl w:val="0"/>
          <w:numId w:val="5"/>
        </w:numPr>
        <w:spacing w:before="120" w:line="560" w:lineRule="exact"/>
        <w:ind w:firstLine="640"/>
        <w:rPr>
          <w:rFonts w:hint="default" w:ascii="仿宋_GB2312" w:hAnsi="仿宋_GB2312" w:eastAsia="仿宋_GB2312"/>
          <w:color w:val="000000"/>
          <w:kern w:val="2"/>
          <w:sz w:val="32"/>
          <w:szCs w:val="32"/>
        </w:rPr>
      </w:pPr>
      <w:r>
        <w:rPr>
          <w:rFonts w:hint="default" w:ascii="仿宋_GB2312" w:hAnsi="仿宋_GB2312" w:eastAsia="仿宋_GB2312"/>
          <w:color w:val="000000"/>
          <w:kern w:val="2"/>
          <w:sz w:val="32"/>
          <w:szCs w:val="32"/>
        </w:rPr>
        <w:t>产品专家综合查询</w:t>
      </w:r>
    </w:p>
    <w:p>
      <w:pPr>
        <w:ind w:firstLine="640"/>
        <w:rPr>
          <w:rFonts w:hint="eastAsia"/>
          <w:szCs w:val="32"/>
          <w:lang w:val="en-US" w:eastAsia="zh-CN"/>
        </w:rPr>
      </w:pPr>
      <w:r>
        <w:rPr>
          <w:rFonts w:hint="eastAsia"/>
          <w:szCs w:val="32"/>
          <w:lang w:val="en-US" w:eastAsia="zh-CN"/>
        </w:rPr>
        <w:t>从产品专家和铺货项目维度查询专家、铺货评审组建、铺货项目、评价、产品专家费发放登记的综合信息。</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5157D"/>
    <w:multiLevelType w:val="singleLevel"/>
    <w:tmpl w:val="9815157D"/>
    <w:lvl w:ilvl="0" w:tentative="0">
      <w:start w:val="1"/>
      <w:numFmt w:val="decimal"/>
      <w:lvlText w:val="%1."/>
      <w:lvlJc w:val="left"/>
      <w:pPr>
        <w:tabs>
          <w:tab w:val="left" w:pos="312"/>
        </w:tabs>
      </w:pPr>
    </w:lvl>
  </w:abstractNum>
  <w:abstractNum w:abstractNumId="1">
    <w:nsid w:val="E8E10845"/>
    <w:multiLevelType w:val="singleLevel"/>
    <w:tmpl w:val="E8E10845"/>
    <w:lvl w:ilvl="0" w:tentative="0">
      <w:start w:val="1"/>
      <w:numFmt w:val="decimal"/>
      <w:lvlText w:val="%1."/>
      <w:lvlJc w:val="left"/>
      <w:pPr>
        <w:tabs>
          <w:tab w:val="left" w:pos="312"/>
        </w:tabs>
      </w:pPr>
    </w:lvl>
  </w:abstractNum>
  <w:abstractNum w:abstractNumId="2">
    <w:nsid w:val="06D18CD6"/>
    <w:multiLevelType w:val="singleLevel"/>
    <w:tmpl w:val="06D18CD6"/>
    <w:lvl w:ilvl="0" w:tentative="0">
      <w:start w:val="1"/>
      <w:numFmt w:val="decimal"/>
      <w:suff w:val="nothing"/>
      <w:lvlText w:val="（%1）"/>
      <w:lvlJc w:val="left"/>
    </w:lvl>
  </w:abstractNum>
  <w:abstractNum w:abstractNumId="3">
    <w:nsid w:val="1DCB5734"/>
    <w:multiLevelType w:val="singleLevel"/>
    <w:tmpl w:val="1DCB5734"/>
    <w:lvl w:ilvl="0" w:tentative="0">
      <w:start w:val="1"/>
      <w:numFmt w:val="decimal"/>
      <w:lvlText w:val="%1."/>
      <w:lvlJc w:val="left"/>
      <w:pPr>
        <w:tabs>
          <w:tab w:val="left" w:pos="312"/>
        </w:tabs>
      </w:pPr>
    </w:lvl>
  </w:abstractNum>
  <w:abstractNum w:abstractNumId="4">
    <w:nsid w:val="57F87A96"/>
    <w:multiLevelType w:val="singleLevel"/>
    <w:tmpl w:val="57F87A96"/>
    <w:lvl w:ilvl="0" w:tentative="0">
      <w:start w:val="1"/>
      <w:numFmt w:val="decimal"/>
      <w:lvlText w:val="%1."/>
      <w:lvlJc w:val="left"/>
      <w:pPr>
        <w:tabs>
          <w:tab w:val="left" w:pos="840"/>
        </w:tabs>
        <w:ind w:left="1265" w:hanging="425"/>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82C2F"/>
    <w:rsid w:val="00036776"/>
    <w:rsid w:val="000B58A1"/>
    <w:rsid w:val="000E161C"/>
    <w:rsid w:val="00124A44"/>
    <w:rsid w:val="00144E88"/>
    <w:rsid w:val="00296919"/>
    <w:rsid w:val="002A2B3C"/>
    <w:rsid w:val="0037590A"/>
    <w:rsid w:val="004B3711"/>
    <w:rsid w:val="005438A6"/>
    <w:rsid w:val="0054757D"/>
    <w:rsid w:val="006039B8"/>
    <w:rsid w:val="00685555"/>
    <w:rsid w:val="00777171"/>
    <w:rsid w:val="00863B18"/>
    <w:rsid w:val="00903BFB"/>
    <w:rsid w:val="00A160EB"/>
    <w:rsid w:val="00A77C52"/>
    <w:rsid w:val="00AD32B0"/>
    <w:rsid w:val="00B36C14"/>
    <w:rsid w:val="00C02736"/>
    <w:rsid w:val="00D920EE"/>
    <w:rsid w:val="00E02817"/>
    <w:rsid w:val="00E03A86"/>
    <w:rsid w:val="00E87777"/>
    <w:rsid w:val="00EF22C8"/>
    <w:rsid w:val="00F27441"/>
    <w:rsid w:val="00F602A1"/>
    <w:rsid w:val="00F672C1"/>
    <w:rsid w:val="00FA0AE3"/>
    <w:rsid w:val="00FB0894"/>
    <w:rsid w:val="00FC11B7"/>
    <w:rsid w:val="01337A5F"/>
    <w:rsid w:val="015844F0"/>
    <w:rsid w:val="016F7A53"/>
    <w:rsid w:val="01940ED2"/>
    <w:rsid w:val="019A28F3"/>
    <w:rsid w:val="019D2867"/>
    <w:rsid w:val="01A669B3"/>
    <w:rsid w:val="022558B1"/>
    <w:rsid w:val="024C0ED1"/>
    <w:rsid w:val="02695C2E"/>
    <w:rsid w:val="02F736DD"/>
    <w:rsid w:val="030B17DE"/>
    <w:rsid w:val="03335252"/>
    <w:rsid w:val="03882E57"/>
    <w:rsid w:val="03883645"/>
    <w:rsid w:val="03A65C8A"/>
    <w:rsid w:val="03CD45EE"/>
    <w:rsid w:val="041638DC"/>
    <w:rsid w:val="041B6BC5"/>
    <w:rsid w:val="044A0D88"/>
    <w:rsid w:val="047D0098"/>
    <w:rsid w:val="04C40D6C"/>
    <w:rsid w:val="04CC2D24"/>
    <w:rsid w:val="052A4EA3"/>
    <w:rsid w:val="0543090F"/>
    <w:rsid w:val="054F2557"/>
    <w:rsid w:val="057E2857"/>
    <w:rsid w:val="058C6F7C"/>
    <w:rsid w:val="05952F37"/>
    <w:rsid w:val="05DC5D6F"/>
    <w:rsid w:val="061E1B96"/>
    <w:rsid w:val="063E16B5"/>
    <w:rsid w:val="06782E1A"/>
    <w:rsid w:val="06844DBE"/>
    <w:rsid w:val="068D1D22"/>
    <w:rsid w:val="06AE70A5"/>
    <w:rsid w:val="07081502"/>
    <w:rsid w:val="071346BD"/>
    <w:rsid w:val="07207DA9"/>
    <w:rsid w:val="0725491E"/>
    <w:rsid w:val="07620793"/>
    <w:rsid w:val="07737AAD"/>
    <w:rsid w:val="078870A8"/>
    <w:rsid w:val="07AB1B56"/>
    <w:rsid w:val="07B72045"/>
    <w:rsid w:val="07CF068B"/>
    <w:rsid w:val="07D47A1B"/>
    <w:rsid w:val="07E25C65"/>
    <w:rsid w:val="0828546F"/>
    <w:rsid w:val="082D00E9"/>
    <w:rsid w:val="08390F4C"/>
    <w:rsid w:val="08690D78"/>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93458"/>
    <w:rsid w:val="09AA2D6F"/>
    <w:rsid w:val="09AB0E4D"/>
    <w:rsid w:val="09EA16FA"/>
    <w:rsid w:val="09FC6514"/>
    <w:rsid w:val="0A2A393B"/>
    <w:rsid w:val="0A2A7277"/>
    <w:rsid w:val="0A6B319D"/>
    <w:rsid w:val="0A6F6F73"/>
    <w:rsid w:val="0A955D6A"/>
    <w:rsid w:val="0A9C564F"/>
    <w:rsid w:val="0AA24209"/>
    <w:rsid w:val="0AB53377"/>
    <w:rsid w:val="0ABF1C30"/>
    <w:rsid w:val="0B0E15E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C453B"/>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C6DE7"/>
    <w:rsid w:val="12C2430F"/>
    <w:rsid w:val="12C600FC"/>
    <w:rsid w:val="12D05CC7"/>
    <w:rsid w:val="12D931F9"/>
    <w:rsid w:val="12F0525D"/>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40DF9"/>
    <w:rsid w:val="1564291D"/>
    <w:rsid w:val="15AE749F"/>
    <w:rsid w:val="15D55EF6"/>
    <w:rsid w:val="15EF11D7"/>
    <w:rsid w:val="15F219D7"/>
    <w:rsid w:val="16083052"/>
    <w:rsid w:val="163F5404"/>
    <w:rsid w:val="1648769E"/>
    <w:rsid w:val="165E438A"/>
    <w:rsid w:val="168A53B2"/>
    <w:rsid w:val="16B71A77"/>
    <w:rsid w:val="175428C6"/>
    <w:rsid w:val="17697C0B"/>
    <w:rsid w:val="177A5491"/>
    <w:rsid w:val="17A50193"/>
    <w:rsid w:val="17A51A40"/>
    <w:rsid w:val="17F7281D"/>
    <w:rsid w:val="18274395"/>
    <w:rsid w:val="184F1515"/>
    <w:rsid w:val="188736C9"/>
    <w:rsid w:val="189F4838"/>
    <w:rsid w:val="18E4027B"/>
    <w:rsid w:val="18E80893"/>
    <w:rsid w:val="18EC177B"/>
    <w:rsid w:val="190040A8"/>
    <w:rsid w:val="1913552B"/>
    <w:rsid w:val="19535528"/>
    <w:rsid w:val="19A42A1A"/>
    <w:rsid w:val="1A03409E"/>
    <w:rsid w:val="1A1B44B1"/>
    <w:rsid w:val="1A3515CF"/>
    <w:rsid w:val="1A516B55"/>
    <w:rsid w:val="1A6029F2"/>
    <w:rsid w:val="1A6879C1"/>
    <w:rsid w:val="1A871897"/>
    <w:rsid w:val="1AD23C24"/>
    <w:rsid w:val="1B1D1254"/>
    <w:rsid w:val="1B270FD6"/>
    <w:rsid w:val="1B4448E1"/>
    <w:rsid w:val="1B492FD4"/>
    <w:rsid w:val="1B4D12F1"/>
    <w:rsid w:val="1B5D5A08"/>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337CDC"/>
    <w:rsid w:val="1D615A72"/>
    <w:rsid w:val="1D7039FF"/>
    <w:rsid w:val="1D80478E"/>
    <w:rsid w:val="1DA36908"/>
    <w:rsid w:val="1DF92A35"/>
    <w:rsid w:val="1E222E35"/>
    <w:rsid w:val="1E235396"/>
    <w:rsid w:val="1E2E7514"/>
    <w:rsid w:val="1EAC2E1D"/>
    <w:rsid w:val="1EC955BB"/>
    <w:rsid w:val="1F096EB6"/>
    <w:rsid w:val="1F0C0C27"/>
    <w:rsid w:val="1F1C779F"/>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D6B4A"/>
    <w:rsid w:val="246E11FA"/>
    <w:rsid w:val="247E4585"/>
    <w:rsid w:val="247E6188"/>
    <w:rsid w:val="24C42EE0"/>
    <w:rsid w:val="24F06F03"/>
    <w:rsid w:val="252E2EC5"/>
    <w:rsid w:val="253A183F"/>
    <w:rsid w:val="253F772C"/>
    <w:rsid w:val="254000C3"/>
    <w:rsid w:val="254E5277"/>
    <w:rsid w:val="25524FFE"/>
    <w:rsid w:val="25546012"/>
    <w:rsid w:val="25783C88"/>
    <w:rsid w:val="25A137F3"/>
    <w:rsid w:val="25DA51C6"/>
    <w:rsid w:val="25DE583A"/>
    <w:rsid w:val="261B6691"/>
    <w:rsid w:val="26764F36"/>
    <w:rsid w:val="26774785"/>
    <w:rsid w:val="2687033A"/>
    <w:rsid w:val="268A548A"/>
    <w:rsid w:val="26B27CE2"/>
    <w:rsid w:val="26D32C40"/>
    <w:rsid w:val="270B1B6F"/>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F8242B"/>
    <w:rsid w:val="29087B40"/>
    <w:rsid w:val="294A7B4B"/>
    <w:rsid w:val="295D1E60"/>
    <w:rsid w:val="297571AC"/>
    <w:rsid w:val="297F4F81"/>
    <w:rsid w:val="299F6E31"/>
    <w:rsid w:val="29A74DA4"/>
    <w:rsid w:val="29AA7275"/>
    <w:rsid w:val="2A06342E"/>
    <w:rsid w:val="2A5B62B6"/>
    <w:rsid w:val="2A612178"/>
    <w:rsid w:val="2A8170AD"/>
    <w:rsid w:val="2A8B12AD"/>
    <w:rsid w:val="2AB02524"/>
    <w:rsid w:val="2AB46227"/>
    <w:rsid w:val="2AE23140"/>
    <w:rsid w:val="2AE72860"/>
    <w:rsid w:val="2B004330"/>
    <w:rsid w:val="2B0664E6"/>
    <w:rsid w:val="2B4812CE"/>
    <w:rsid w:val="2B4D5018"/>
    <w:rsid w:val="2B5C1DAF"/>
    <w:rsid w:val="2BAE1143"/>
    <w:rsid w:val="2CB81175"/>
    <w:rsid w:val="2CC24E39"/>
    <w:rsid w:val="2CC97D88"/>
    <w:rsid w:val="2CD01A46"/>
    <w:rsid w:val="2CDC0FA6"/>
    <w:rsid w:val="2CFF4D50"/>
    <w:rsid w:val="2D0E40DE"/>
    <w:rsid w:val="2D0F2824"/>
    <w:rsid w:val="2D100D11"/>
    <w:rsid w:val="2D4324F5"/>
    <w:rsid w:val="2D7714C8"/>
    <w:rsid w:val="2D784148"/>
    <w:rsid w:val="2D907DEC"/>
    <w:rsid w:val="2D943246"/>
    <w:rsid w:val="2DB008D4"/>
    <w:rsid w:val="2DEB41DB"/>
    <w:rsid w:val="2E15765A"/>
    <w:rsid w:val="2E1C67D6"/>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6C2D68"/>
    <w:rsid w:val="306D6B30"/>
    <w:rsid w:val="307D1A85"/>
    <w:rsid w:val="30E26C43"/>
    <w:rsid w:val="311C0B8A"/>
    <w:rsid w:val="312915B6"/>
    <w:rsid w:val="313A6B86"/>
    <w:rsid w:val="314500D1"/>
    <w:rsid w:val="314934A4"/>
    <w:rsid w:val="3153642A"/>
    <w:rsid w:val="31656D24"/>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83661"/>
    <w:rsid w:val="34B62FDA"/>
    <w:rsid w:val="35141EF3"/>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794854"/>
    <w:rsid w:val="36837B3C"/>
    <w:rsid w:val="36B03427"/>
    <w:rsid w:val="36C1554D"/>
    <w:rsid w:val="36C54BD8"/>
    <w:rsid w:val="36D267AC"/>
    <w:rsid w:val="36E17FA3"/>
    <w:rsid w:val="372F2DB4"/>
    <w:rsid w:val="37834E57"/>
    <w:rsid w:val="37B86717"/>
    <w:rsid w:val="37BC4F0F"/>
    <w:rsid w:val="383B3529"/>
    <w:rsid w:val="384D755A"/>
    <w:rsid w:val="38797C33"/>
    <w:rsid w:val="387B12CF"/>
    <w:rsid w:val="387B3137"/>
    <w:rsid w:val="387F34B3"/>
    <w:rsid w:val="388236B6"/>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AE6045"/>
    <w:rsid w:val="3BB44F02"/>
    <w:rsid w:val="3BBE7A10"/>
    <w:rsid w:val="3BD152F4"/>
    <w:rsid w:val="3BD33AF6"/>
    <w:rsid w:val="3C043B8B"/>
    <w:rsid w:val="3C05718A"/>
    <w:rsid w:val="3C0B173E"/>
    <w:rsid w:val="3C0D09D9"/>
    <w:rsid w:val="3C20026A"/>
    <w:rsid w:val="3C722FE5"/>
    <w:rsid w:val="3C727F26"/>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761EF"/>
    <w:rsid w:val="432E1C5B"/>
    <w:rsid w:val="433901D7"/>
    <w:rsid w:val="433B7357"/>
    <w:rsid w:val="434321CD"/>
    <w:rsid w:val="436F453D"/>
    <w:rsid w:val="43766B34"/>
    <w:rsid w:val="437C3B8C"/>
    <w:rsid w:val="438406E5"/>
    <w:rsid w:val="43AE09CA"/>
    <w:rsid w:val="43C4474A"/>
    <w:rsid w:val="43E34BDE"/>
    <w:rsid w:val="440E44B1"/>
    <w:rsid w:val="44234CD7"/>
    <w:rsid w:val="44763A99"/>
    <w:rsid w:val="447941CB"/>
    <w:rsid w:val="447B0768"/>
    <w:rsid w:val="448904C8"/>
    <w:rsid w:val="448E3C5C"/>
    <w:rsid w:val="44925F84"/>
    <w:rsid w:val="44D929CD"/>
    <w:rsid w:val="45097BDE"/>
    <w:rsid w:val="451B1D9B"/>
    <w:rsid w:val="45345594"/>
    <w:rsid w:val="45600794"/>
    <w:rsid w:val="459425B5"/>
    <w:rsid w:val="45AC3DB3"/>
    <w:rsid w:val="45E06F74"/>
    <w:rsid w:val="45EC02F6"/>
    <w:rsid w:val="460573DD"/>
    <w:rsid w:val="46095BAE"/>
    <w:rsid w:val="461B624F"/>
    <w:rsid w:val="462155C7"/>
    <w:rsid w:val="4639482D"/>
    <w:rsid w:val="464D2C66"/>
    <w:rsid w:val="4658695D"/>
    <w:rsid w:val="46624616"/>
    <w:rsid w:val="468F778D"/>
    <w:rsid w:val="46A900C7"/>
    <w:rsid w:val="46CF6211"/>
    <w:rsid w:val="46FD19CC"/>
    <w:rsid w:val="47057698"/>
    <w:rsid w:val="47216F1C"/>
    <w:rsid w:val="477B333E"/>
    <w:rsid w:val="47875540"/>
    <w:rsid w:val="47B5437F"/>
    <w:rsid w:val="47B91BA4"/>
    <w:rsid w:val="47E01CC8"/>
    <w:rsid w:val="48167E7D"/>
    <w:rsid w:val="48632753"/>
    <w:rsid w:val="48786241"/>
    <w:rsid w:val="4881606F"/>
    <w:rsid w:val="48877B23"/>
    <w:rsid w:val="48A64390"/>
    <w:rsid w:val="48AF4E88"/>
    <w:rsid w:val="48F84E82"/>
    <w:rsid w:val="48FA35CC"/>
    <w:rsid w:val="49252D30"/>
    <w:rsid w:val="493835D8"/>
    <w:rsid w:val="496A3E05"/>
    <w:rsid w:val="49D66F55"/>
    <w:rsid w:val="49DA0776"/>
    <w:rsid w:val="49E845E5"/>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F80EAF"/>
    <w:rsid w:val="4C167581"/>
    <w:rsid w:val="4C381E5D"/>
    <w:rsid w:val="4C8001D4"/>
    <w:rsid w:val="4CC86CED"/>
    <w:rsid w:val="4CD20F40"/>
    <w:rsid w:val="4CE95F49"/>
    <w:rsid w:val="4CEA5C90"/>
    <w:rsid w:val="4CF81B25"/>
    <w:rsid w:val="4CFE6DF8"/>
    <w:rsid w:val="4D6B7C12"/>
    <w:rsid w:val="4DAF25E8"/>
    <w:rsid w:val="4E95263A"/>
    <w:rsid w:val="4EAA2B1D"/>
    <w:rsid w:val="4ECF74D9"/>
    <w:rsid w:val="4EE00160"/>
    <w:rsid w:val="4EF75580"/>
    <w:rsid w:val="4F117234"/>
    <w:rsid w:val="4F51106B"/>
    <w:rsid w:val="4F681919"/>
    <w:rsid w:val="4F753892"/>
    <w:rsid w:val="4F791EF0"/>
    <w:rsid w:val="4F932A9A"/>
    <w:rsid w:val="4FCB3E04"/>
    <w:rsid w:val="502A7AC0"/>
    <w:rsid w:val="503C7A30"/>
    <w:rsid w:val="5087374D"/>
    <w:rsid w:val="508949AF"/>
    <w:rsid w:val="50983433"/>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AC4393"/>
    <w:rsid w:val="53B616B2"/>
    <w:rsid w:val="53DA7B62"/>
    <w:rsid w:val="53E87467"/>
    <w:rsid w:val="540B3AED"/>
    <w:rsid w:val="542D2DFB"/>
    <w:rsid w:val="543A5CA3"/>
    <w:rsid w:val="54845564"/>
    <w:rsid w:val="54957942"/>
    <w:rsid w:val="54BF0CD2"/>
    <w:rsid w:val="55287EB0"/>
    <w:rsid w:val="55644CC9"/>
    <w:rsid w:val="558D58BD"/>
    <w:rsid w:val="55B323A8"/>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603BA"/>
    <w:rsid w:val="56B066E9"/>
    <w:rsid w:val="56D22964"/>
    <w:rsid w:val="56F722EC"/>
    <w:rsid w:val="5707195E"/>
    <w:rsid w:val="5748212E"/>
    <w:rsid w:val="574B4802"/>
    <w:rsid w:val="5775795C"/>
    <w:rsid w:val="577C7118"/>
    <w:rsid w:val="57951F33"/>
    <w:rsid w:val="57A93AB1"/>
    <w:rsid w:val="57AD0300"/>
    <w:rsid w:val="57B039B0"/>
    <w:rsid w:val="57EB6985"/>
    <w:rsid w:val="580C1987"/>
    <w:rsid w:val="58420E3E"/>
    <w:rsid w:val="58963595"/>
    <w:rsid w:val="58EA1CCD"/>
    <w:rsid w:val="590905A3"/>
    <w:rsid w:val="591D7BD6"/>
    <w:rsid w:val="592B327E"/>
    <w:rsid w:val="5964056E"/>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10E0205"/>
    <w:rsid w:val="61156678"/>
    <w:rsid w:val="61292483"/>
    <w:rsid w:val="6131520C"/>
    <w:rsid w:val="61362A0B"/>
    <w:rsid w:val="61600325"/>
    <w:rsid w:val="61634F10"/>
    <w:rsid w:val="61913748"/>
    <w:rsid w:val="61940DCD"/>
    <w:rsid w:val="61953B5F"/>
    <w:rsid w:val="61E379E8"/>
    <w:rsid w:val="620D6B6D"/>
    <w:rsid w:val="62223926"/>
    <w:rsid w:val="62C6792F"/>
    <w:rsid w:val="62F54A9B"/>
    <w:rsid w:val="63941C8F"/>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7020C89"/>
    <w:rsid w:val="671C7A10"/>
    <w:rsid w:val="67200683"/>
    <w:rsid w:val="67287FCA"/>
    <w:rsid w:val="673D639A"/>
    <w:rsid w:val="6766700C"/>
    <w:rsid w:val="677221C7"/>
    <w:rsid w:val="679777B3"/>
    <w:rsid w:val="67C9725D"/>
    <w:rsid w:val="67D12DE4"/>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439C5"/>
    <w:rsid w:val="6A03112F"/>
    <w:rsid w:val="6A0C4B66"/>
    <w:rsid w:val="6A254C33"/>
    <w:rsid w:val="6A3473F8"/>
    <w:rsid w:val="6A766083"/>
    <w:rsid w:val="6A7B73F6"/>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4954CA"/>
    <w:rsid w:val="716F6ABE"/>
    <w:rsid w:val="717C3D27"/>
    <w:rsid w:val="718F3E5B"/>
    <w:rsid w:val="71913A3A"/>
    <w:rsid w:val="71967069"/>
    <w:rsid w:val="71BB1DAD"/>
    <w:rsid w:val="71D42299"/>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28429A"/>
    <w:rsid w:val="77372375"/>
    <w:rsid w:val="77466D27"/>
    <w:rsid w:val="77477368"/>
    <w:rsid w:val="776E6FE0"/>
    <w:rsid w:val="77766271"/>
    <w:rsid w:val="77830171"/>
    <w:rsid w:val="778E624D"/>
    <w:rsid w:val="77AD2167"/>
    <w:rsid w:val="77B82C2F"/>
    <w:rsid w:val="77E0567B"/>
    <w:rsid w:val="77E65D29"/>
    <w:rsid w:val="784400DC"/>
    <w:rsid w:val="78910FFE"/>
    <w:rsid w:val="78AC208A"/>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516DFC"/>
    <w:rsid w:val="7B637D41"/>
    <w:rsid w:val="7BB04B5E"/>
    <w:rsid w:val="7BB57D54"/>
    <w:rsid w:val="7C28698A"/>
    <w:rsid w:val="7C2E3ECA"/>
    <w:rsid w:val="7C501719"/>
    <w:rsid w:val="7C6333F8"/>
    <w:rsid w:val="7C6E3729"/>
    <w:rsid w:val="7C9B270B"/>
    <w:rsid w:val="7CAC259A"/>
    <w:rsid w:val="7D1F1A97"/>
    <w:rsid w:val="7D446FEE"/>
    <w:rsid w:val="7D484B64"/>
    <w:rsid w:val="7D9121E7"/>
    <w:rsid w:val="7D922090"/>
    <w:rsid w:val="7D955C1F"/>
    <w:rsid w:val="7DFE3946"/>
    <w:rsid w:val="7E006DEA"/>
    <w:rsid w:val="7E0A08C7"/>
    <w:rsid w:val="7E3141BA"/>
    <w:rsid w:val="7E5210C0"/>
    <w:rsid w:val="7E6F0862"/>
    <w:rsid w:val="7E6F60EB"/>
    <w:rsid w:val="7E942656"/>
    <w:rsid w:val="7EE956F2"/>
    <w:rsid w:val="7F014DC7"/>
    <w:rsid w:val="7F3218E1"/>
    <w:rsid w:val="7F4E25F9"/>
    <w:rsid w:val="7F6B7EAD"/>
    <w:rsid w:val="7F716A64"/>
    <w:rsid w:val="7F93455B"/>
    <w:rsid w:val="7FC140F3"/>
    <w:rsid w:val="7FCC5C17"/>
    <w:rsid w:val="7FE21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字符"/>
    <w:basedOn w:val="12"/>
    <w:link w:val="8"/>
    <w:qFormat/>
    <w:uiPriority w:val="0"/>
    <w:rPr>
      <w:rFonts w:ascii="仿宋_GB2312" w:hAnsi="Calibri" w:eastAsia="仿宋_GB2312"/>
      <w:color w:val="000000"/>
      <w:kern w:val="2"/>
      <w:sz w:val="18"/>
      <w:szCs w:val="18"/>
    </w:rPr>
  </w:style>
  <w:style w:type="character" w:customStyle="1" w:styleId="50">
    <w:name w:val="页脚 字符"/>
    <w:basedOn w:val="12"/>
    <w:link w:val="7"/>
    <w:qFormat/>
    <w:uiPriority w:val="0"/>
    <w:rPr>
      <w:rFonts w:ascii="仿宋_GB2312" w:hAnsi="Calibri" w:eastAsia="仿宋_GB2312"/>
      <w:color w:val="000000"/>
      <w:kern w:val="2"/>
      <w:sz w:val="18"/>
      <w:szCs w:val="18"/>
    </w:rPr>
  </w:style>
  <w:style w:type="character" w:customStyle="1" w:styleId="51">
    <w:name w:val="标题 1 字符"/>
    <w:basedOn w:val="12"/>
    <w:link w:val="3"/>
    <w:qFormat/>
    <w:uiPriority w:val="0"/>
    <w:rPr>
      <w:rFonts w:ascii="宋体" w:hAnsi="宋体"/>
      <w:color w:val="333333"/>
      <w:kern w:val="44"/>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Words>
  <Characters>509</Characters>
  <Lines>4</Lines>
  <Paragraphs>1</Paragraphs>
  <TotalTime>1</TotalTime>
  <ScaleCrop>false</ScaleCrop>
  <LinksUpToDate>false</LinksUpToDate>
  <CharactersWithSpaces>597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2019-12-26T08:28:00Z</dcterms:created>
  <dc:creator>jxp</dc:creator>
  <cp:lastModifiedBy>宋鹤扬</cp:lastModifiedBy>
  <dcterms:modified xsi:type="dcterms:W3CDTF">2022-11-25T04:04:48Z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B19B3C9B37E945ED9EADF53C80136FE4</vt:lpwstr>
  </property>
</Properties>
</file>