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9"/>
        </w:tabs>
        <w:jc w:val="left"/>
        <w:rPr>
          <w:rFonts w:hint="eastAsia" w:ascii="宋体" w:hAnsi="宋体" w:eastAsia="宋体"/>
          <w:b/>
          <w:sz w:val="52"/>
          <w:szCs w:val="52"/>
          <w:lang w:eastAsia="zh-CN"/>
        </w:rPr>
      </w:pPr>
      <w:r>
        <w:rPr>
          <w:rFonts w:hint="eastAsia" w:ascii="宋体" w:hAnsi="宋体"/>
          <w:b/>
          <w:sz w:val="52"/>
          <w:szCs w:val="52"/>
          <w:lang w:eastAsia="zh-CN"/>
        </w:rPr>
        <w:tab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1372870" cy="423545"/>
            <wp:effectExtent l="0" t="0" r="0" b="0"/>
            <wp:docPr id="1" name="图片 1" descr="国能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能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国家能源e购商城年度采购合同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pStyle w:val="3"/>
        <w:spacing w:line="360" w:lineRule="auto"/>
        <w:jc w:val="center"/>
        <w:rPr>
          <w:rFonts w:hAnsi="宋体"/>
          <w:b/>
          <w:sz w:val="36"/>
        </w:rPr>
      </w:pPr>
    </w:p>
    <w:p>
      <w:pPr>
        <w:pStyle w:val="3"/>
        <w:spacing w:line="360" w:lineRule="auto"/>
        <w:jc w:val="center"/>
        <w:rPr>
          <w:rFonts w:hAnsi="宋体"/>
          <w:b/>
          <w:sz w:val="36"/>
        </w:rPr>
      </w:pPr>
    </w:p>
    <w:p>
      <w:pPr>
        <w:pStyle w:val="3"/>
        <w:spacing w:line="360" w:lineRule="auto"/>
        <w:ind w:firstLine="1285" w:firstLineChars="400"/>
        <w:jc w:val="left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甲方合同编号：</w:t>
      </w:r>
    </w:p>
    <w:p>
      <w:pPr>
        <w:pStyle w:val="3"/>
        <w:spacing w:line="360" w:lineRule="auto"/>
        <w:ind w:firstLine="1285" w:firstLineChars="400"/>
        <w:rPr>
          <w:rFonts w:hint="default" w:hAnsi="宋体" w:eastAsia="宋体"/>
          <w:b/>
          <w:sz w:val="32"/>
          <w:szCs w:val="32"/>
          <w:highlight w:val="yellow"/>
          <w:lang w:val="en-US" w:eastAsia="zh-CN"/>
        </w:rPr>
      </w:pPr>
      <w:r>
        <w:rPr>
          <w:rFonts w:hint="eastAsia" w:hAnsi="宋体"/>
          <w:b/>
          <w:sz w:val="32"/>
          <w:szCs w:val="32"/>
        </w:rPr>
        <w:t>乙方合同编号</w:t>
      </w:r>
      <w:r>
        <w:rPr>
          <w:rFonts w:hint="eastAsia" w:hAnsi="宋体"/>
          <w:b/>
          <w:sz w:val="32"/>
          <w:szCs w:val="32"/>
          <w:highlight w:val="none"/>
        </w:rPr>
        <w:t>：WZSCXS-20</w:t>
      </w: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20</w:t>
      </w:r>
      <w:r>
        <w:rPr>
          <w:rFonts w:hint="eastAsia" w:hAnsi="宋体"/>
          <w:b/>
          <w:sz w:val="32"/>
          <w:szCs w:val="32"/>
          <w:highlight w:val="none"/>
        </w:rPr>
        <w:t>-</w:t>
      </w:r>
      <w:r>
        <w:rPr>
          <w:rFonts w:hint="eastAsia" w:hAnsi="宋体"/>
          <w:b/>
          <w:sz w:val="32"/>
          <w:szCs w:val="32"/>
          <w:highlight w:val="yellow"/>
          <w:lang w:val="en-US" w:eastAsia="zh-CN"/>
        </w:rPr>
        <w:t>XX</w:t>
      </w:r>
      <w:r>
        <w:rPr>
          <w:rFonts w:hint="eastAsia" w:hAnsi="宋体"/>
          <w:b/>
          <w:sz w:val="32"/>
          <w:szCs w:val="32"/>
          <w:highlight w:val="yellow"/>
        </w:rPr>
        <w:t>-</w:t>
      </w:r>
      <w:r>
        <w:rPr>
          <w:rFonts w:hint="eastAsia" w:hAnsi="宋体"/>
          <w:b/>
          <w:sz w:val="32"/>
          <w:szCs w:val="32"/>
          <w:highlight w:val="yellow"/>
          <w:lang w:val="en-US" w:eastAsia="zh-CN"/>
        </w:rPr>
        <w:t>XXX</w:t>
      </w:r>
    </w:p>
    <w:p>
      <w:pPr>
        <w:pStyle w:val="3"/>
        <w:spacing w:line="360" w:lineRule="auto"/>
        <w:jc w:val="center"/>
        <w:rPr>
          <w:rFonts w:hAnsi="宋体"/>
          <w:b/>
          <w:sz w:val="36"/>
        </w:rPr>
      </w:pPr>
    </w:p>
    <w:p>
      <w:pPr>
        <w:pStyle w:val="3"/>
        <w:spacing w:line="360" w:lineRule="auto"/>
        <w:ind w:firstLine="1807" w:firstLineChars="500"/>
        <w:rPr>
          <w:rFonts w:hAnsi="宋体"/>
          <w:b/>
          <w:sz w:val="36"/>
        </w:rPr>
      </w:pPr>
    </w:p>
    <w:p>
      <w:pPr>
        <w:pStyle w:val="3"/>
        <w:spacing w:line="360" w:lineRule="auto"/>
        <w:ind w:firstLine="1807" w:firstLineChars="500"/>
        <w:rPr>
          <w:rFonts w:hAnsi="宋体"/>
          <w:b/>
          <w:sz w:val="36"/>
        </w:rPr>
      </w:pPr>
    </w:p>
    <w:p>
      <w:pPr>
        <w:pStyle w:val="3"/>
        <w:spacing w:line="360" w:lineRule="auto"/>
        <w:ind w:firstLine="1807" w:firstLineChars="500"/>
        <w:rPr>
          <w:rFonts w:hAnsi="宋体"/>
          <w:b/>
          <w:sz w:val="36"/>
        </w:rPr>
      </w:pPr>
    </w:p>
    <w:p>
      <w:pPr>
        <w:pStyle w:val="3"/>
        <w:spacing w:line="360" w:lineRule="auto"/>
        <w:ind w:firstLine="1807" w:firstLineChars="500"/>
        <w:rPr>
          <w:rFonts w:hAnsi="宋体"/>
          <w:b/>
          <w:sz w:val="36"/>
        </w:rPr>
      </w:pPr>
    </w:p>
    <w:p>
      <w:pPr>
        <w:pStyle w:val="3"/>
        <w:spacing w:line="360" w:lineRule="auto"/>
        <w:ind w:firstLine="1285" w:firstLineChars="400"/>
        <w:rPr>
          <w:rFonts w:hint="eastAsia" w:hAnsi="宋体"/>
          <w:b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hAnsi="宋体"/>
          <w:b/>
          <w:sz w:val="32"/>
          <w:szCs w:val="32"/>
        </w:rPr>
        <w:t>甲方：</w:t>
      </w:r>
      <w:r>
        <w:rPr>
          <w:rFonts w:hint="eastAsia" w:hAnsi="宋体"/>
          <w:b/>
          <w:sz w:val="32"/>
          <w:szCs w:val="32"/>
          <w:highlight w:val="yellow"/>
          <w:u w:val="single"/>
          <w:lang w:val="en-US" w:eastAsia="zh-CN"/>
        </w:rPr>
        <w:t xml:space="preserve">                             </w:t>
      </w:r>
    </w:p>
    <w:p>
      <w:pPr>
        <w:pStyle w:val="3"/>
        <w:spacing w:line="360" w:lineRule="auto"/>
        <w:ind w:firstLine="1285" w:firstLineChars="400"/>
        <w:rPr>
          <w:rFonts w:hAnsi="宋体"/>
          <w:b/>
          <w:sz w:val="32"/>
          <w:szCs w:val="32"/>
          <w:u w:val="single"/>
        </w:rPr>
      </w:pPr>
      <w:r>
        <w:rPr>
          <w:rFonts w:hint="eastAsia" w:hAnsi="宋体"/>
          <w:b/>
          <w:sz w:val="32"/>
          <w:szCs w:val="32"/>
        </w:rPr>
        <w:t>乙方：</w:t>
      </w:r>
      <w:r>
        <w:rPr>
          <w:rFonts w:hint="eastAsia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32"/>
          <w:szCs w:val="32"/>
          <w:u w:val="single"/>
        </w:rPr>
        <w:t>国电（北京）配送中心有限公司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before="156" w:beforeLines="50" w:line="300" w:lineRule="auto"/>
        <w:ind w:firstLine="840" w:firstLineChars="350"/>
      </w:pPr>
      <w:r>
        <w:rPr>
          <w:rFonts w:hint="eastAsia"/>
          <w:sz w:val="24"/>
        </w:rPr>
        <w:t xml:space="preserve"> </w:t>
      </w:r>
    </w:p>
    <w:p>
      <w:pPr>
        <w:spacing w:before="156" w:beforeLines="50" w:line="300" w:lineRule="auto"/>
        <w:ind w:firstLine="420" w:firstLineChars="200"/>
      </w:pPr>
    </w:p>
    <w:p>
      <w:pPr>
        <w:spacing w:line="500" w:lineRule="exact"/>
        <w:jc w:val="center"/>
      </w:pPr>
      <w:r>
        <w:rPr>
          <w:rFonts w:hint="eastAsia" w:ascii="宋体" w:hAnsi="宋体"/>
          <w:b/>
          <w:sz w:val="32"/>
          <w:highlight w:val="yellow"/>
        </w:rPr>
        <w:t>二〇</w:t>
      </w:r>
      <w:r>
        <w:rPr>
          <w:rFonts w:hint="eastAsia" w:ascii="宋体" w:hAnsi="宋体"/>
          <w:b/>
          <w:sz w:val="32"/>
          <w:highlight w:val="yellow"/>
          <w:lang w:val="en-US" w:eastAsia="zh-CN"/>
        </w:rPr>
        <w:t>二</w:t>
      </w:r>
      <w:r>
        <w:rPr>
          <w:rFonts w:hint="eastAsia" w:ascii="宋体" w:hAnsi="宋体"/>
          <w:b/>
          <w:sz w:val="32"/>
          <w:highlight w:val="yellow"/>
        </w:rPr>
        <w:t>〇年</w:t>
      </w:r>
      <w:r>
        <w:rPr>
          <w:rFonts w:hint="eastAsia" w:ascii="宋体" w:hAnsi="宋体"/>
          <w:b/>
          <w:sz w:val="32"/>
          <w:highlight w:val="yellow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highlight w:val="yellow"/>
        </w:rPr>
        <w:t>月</w:t>
      </w:r>
      <w:r>
        <w:rPr>
          <w:rFonts w:hint="eastAsia" w:ascii="宋体" w:hAnsi="宋体"/>
          <w:b/>
          <w:sz w:val="32"/>
        </w:rPr>
        <w:t>·北京</w:t>
      </w:r>
    </w:p>
    <w:p>
      <w:pPr>
        <w:spacing w:before="156" w:beforeLines="50" w:line="300" w:lineRule="auto"/>
        <w:ind w:firstLine="420" w:firstLineChars="200"/>
      </w:pPr>
    </w:p>
    <w:p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before="312" w:beforeLines="100" w:after="312" w:afterLines="100"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国家能源e购商城年度采购合同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根据《中华人民共和国合同法》及相关法律法规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bookmarkStart w:id="0" w:name="_Hlk6471978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国家能源投资集团有限责任公司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相关规定要求，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本着“诚信、平等、自愿、公平”的原则，甲乙双方就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国家能源e购商城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以下简称商城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采购事宜协商一致，特订立此合同。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  合作方式</w:t>
      </w:r>
    </w:p>
    <w:p>
      <w:pPr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1.甲乙双方通过商城实现商品采购、销售工作的阳光、便捷、电子化。乙方负责商城的运营维护、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铺货、售后服务等工作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甲方按照本单位需求在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商城</w:t>
      </w:r>
      <w:r>
        <w:rPr>
          <w:rFonts w:hint="eastAsia" w:ascii="仿宋_GB2312" w:hAnsi="仿宋_GB2312" w:eastAsia="仿宋_GB2312" w:cs="仿宋_GB2312"/>
          <w:sz w:val="32"/>
          <w:szCs w:val="32"/>
        </w:rPr>
        <w:t>内选择相关商品，并通过电子订单的形式提交至乙方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合同对国家能源e购商城采购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销售等相关工作做出了明确约定，合同有效期内作为甲乙双方商城采购结算的依据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国家能源e购商城采用“年度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+实时订单”结算模式，乙方不再就每一订单与甲方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另行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签订采购合同。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乙方可以为甲方及甲方单位所属部门、分公司（以下简称甲方用户）在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国家能源e购商城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配置账套及对应的资金账户，每一账户单位均可按照本单位需求在商城进行下单采购，乙方根据订单统一与甲方进行结算，甲乙双方按照附件表进行账户配置。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甲方或甲方用户作为采购主体在商城进行交易活动时，统称为“采购单位”。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.对技术复杂、有特殊要求的商品，在生成电子订单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甲方、乙方和供应商另行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技术协议，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并由甲方在下单时以附件形式上传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.除国家能源e购商城上明确留有质保金的商品外，其他商品均不留质保金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ind w:left="0" w:leftChars="0" w:firstLine="0" w:firstLineChars="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  商品</w:t>
      </w:r>
    </w:p>
    <w:p>
      <w:pPr>
        <w:spacing w:line="560" w:lineRule="exact"/>
        <w:ind w:firstLine="707" w:firstLineChars="2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国家能源e购商城商品是乙方按照集团公司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相关采购管理要求，通过集中采购铺货上架的优质品牌商品，以及经集团同意引进的外部知名电商商品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707" w:firstLineChars="2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.甲方可就乙方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品类提出意见建议，乙方定期收集甲方需求，完善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铺货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品类</w:t>
      </w:r>
      <w:r>
        <w:rPr>
          <w:rFonts w:hint="eastAsia" w:ascii="仿宋_GB2312" w:hAnsi="仿宋_GB2312" w:eastAsia="仿宋_GB2312" w:cs="仿宋_GB2312"/>
          <w:sz w:val="32"/>
          <w:szCs w:val="32"/>
        </w:rPr>
        <w:t>和质量，为甲方创造更好的采购体验。</w:t>
      </w:r>
    </w:p>
    <w:p>
      <w:pPr>
        <w:spacing w:line="560" w:lineRule="exact"/>
        <w:ind w:firstLine="707" w:firstLineChars="2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电子超市商品支持为甲方提供定制化、个性化服务，定制化商品经甲乙双方测算成本后确定起订数量。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  价格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国家能源e购商城内商品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为乙方含税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%增值税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如果国家税率调整，本协议税率相应调整，乙方会以告知函的方式通知甲方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）销售价，包括包装费、运杂费、服</w:t>
      </w:r>
      <w:r>
        <w:rPr>
          <w:rFonts w:hint="eastAsia" w:ascii="仿宋_GB2312" w:hAnsi="仿宋_GB2312" w:eastAsia="仿宋_GB2312" w:cs="仿宋_GB2312"/>
          <w:sz w:val="32"/>
          <w:szCs w:val="32"/>
        </w:rPr>
        <w:t>务管理费等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乙方交付商品的全部费用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如甲方选择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商城电力专区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涉及调价的商品，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会按照相应商品的调价原则进行价格调整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ind w:left="0" w:leftChars="0" w:firstLine="0" w:firstLineChars="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结算及支付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1.</w:t>
      </w:r>
      <w:r>
        <w:rPr>
          <w:rFonts w:hint="eastAsia" w:hAnsi="仿宋_GB2312" w:cs="仿宋_GB2312"/>
          <w:lang w:val="en-US" w:eastAsia="zh-CN"/>
        </w:rPr>
        <w:t>甲方</w:t>
      </w:r>
      <w:r>
        <w:rPr>
          <w:rFonts w:hint="eastAsia" w:hAnsi="仿宋_GB2312" w:cs="仿宋_GB2312"/>
        </w:rPr>
        <w:t>在商城实施采购前，应在</w:t>
      </w:r>
      <w:r>
        <w:rPr>
          <w:rFonts w:hint="eastAsia" w:hAnsi="仿宋_GB2312" w:cs="仿宋_GB2312"/>
          <w:lang w:val="en-US" w:eastAsia="zh-CN"/>
        </w:rPr>
        <w:t>其</w:t>
      </w:r>
      <w:r>
        <w:rPr>
          <w:rFonts w:hint="eastAsia" w:hAnsi="仿宋_GB2312" w:cs="仿宋_GB2312"/>
        </w:rPr>
        <w:t>资金账户预存货款，货款不足时应及时补充，</w:t>
      </w:r>
      <w:r>
        <w:rPr>
          <w:rFonts w:hint="eastAsia" w:hAnsi="仿宋_GB2312" w:cs="仿宋_GB2312"/>
          <w:lang w:val="en-US" w:eastAsia="zh-CN"/>
        </w:rPr>
        <w:t>否则无法下单采购，</w:t>
      </w:r>
      <w:r>
        <w:rPr>
          <w:rFonts w:hint="eastAsia" w:hAnsi="仿宋_GB2312" w:cs="仿宋_GB2312"/>
        </w:rPr>
        <w:t>每次存入额度原则上应为“万元”的整数倍。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2.</w:t>
      </w:r>
      <w:r>
        <w:rPr>
          <w:rFonts w:hint="eastAsia" w:hAnsi="仿宋_GB2312" w:cs="仿宋_GB2312"/>
          <w:lang w:val="en-US" w:eastAsia="zh-CN"/>
        </w:rPr>
        <w:t>甲方采购</w:t>
      </w:r>
      <w:r>
        <w:rPr>
          <w:rFonts w:hint="eastAsia" w:hAnsi="仿宋_GB2312" w:cs="仿宋_GB2312"/>
        </w:rPr>
        <w:t>电子超市</w:t>
      </w:r>
      <w:r>
        <w:rPr>
          <w:rFonts w:hint="eastAsia" w:hAnsi="仿宋_GB2312" w:cs="仿宋_GB2312"/>
          <w:lang w:val="en-US" w:eastAsia="zh-CN"/>
        </w:rPr>
        <w:t>商品时</w:t>
      </w:r>
      <w:r>
        <w:rPr>
          <w:rFonts w:hint="eastAsia" w:hAnsi="仿宋_GB2312" w:cs="仿宋_GB2312"/>
        </w:rPr>
        <w:t>采用全额扣款方式，下单后商城自动从采购单位预存货款中全额扣除该订单货款。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3.</w:t>
      </w:r>
      <w:r>
        <w:rPr>
          <w:rFonts w:hint="eastAsia" w:hAnsi="仿宋_GB2312" w:cs="仿宋_GB2312"/>
          <w:lang w:eastAsia="zh-CN"/>
        </w:rPr>
        <w:t>除电子超市外，</w:t>
      </w:r>
      <w:r>
        <w:rPr>
          <w:rFonts w:hint="eastAsia" w:hAnsi="仿宋_GB2312" w:cs="仿宋_GB2312"/>
          <w:lang w:val="en-US" w:eastAsia="zh-CN"/>
        </w:rPr>
        <w:t>甲方</w:t>
      </w:r>
      <w:r>
        <w:rPr>
          <w:rFonts w:hint="eastAsia" w:hAnsi="仿宋_GB2312" w:cs="仿宋_GB2312"/>
          <w:lang w:eastAsia="zh-CN"/>
        </w:rPr>
        <w:t>采购</w:t>
      </w:r>
      <w:r>
        <w:rPr>
          <w:rFonts w:hint="eastAsia" w:hAnsi="仿宋_GB2312" w:cs="仿宋_GB2312"/>
          <w:lang w:val="en-US" w:eastAsia="zh-CN"/>
        </w:rPr>
        <w:t>其他专区商品时</w:t>
      </w:r>
      <w:r>
        <w:rPr>
          <w:rFonts w:hint="eastAsia" w:hAnsi="仿宋_GB2312" w:cs="仿宋_GB2312"/>
          <w:lang w:eastAsia="zh-CN"/>
        </w:rPr>
        <w:t>均</w:t>
      </w:r>
      <w:r>
        <w:rPr>
          <w:rFonts w:hint="eastAsia" w:hAnsi="仿宋_GB2312" w:cs="仿宋_GB2312"/>
        </w:rPr>
        <w:t>采用</w:t>
      </w:r>
      <w:r>
        <w:rPr>
          <w:rFonts w:hint="eastAsia" w:hAnsi="仿宋_GB2312" w:cs="仿宋_GB2312"/>
          <w:color w:val="000000"/>
        </w:rPr>
        <w:t>“差额定率累进</w:t>
      </w:r>
      <w:r>
        <w:rPr>
          <w:rFonts w:hint="eastAsia" w:hAnsi="仿宋_GB2312" w:cs="仿宋_GB2312"/>
          <w:color w:val="000000"/>
          <w:lang w:val="en-US" w:eastAsia="zh-CN"/>
        </w:rPr>
        <w:t>法，按照</w:t>
      </w:r>
      <w:r>
        <w:rPr>
          <w:rFonts w:hint="eastAsia" w:hAnsi="仿宋_GB2312" w:cs="仿宋_GB2312"/>
          <w:color w:val="000000"/>
        </w:rPr>
        <w:t>首付款</w:t>
      </w:r>
      <w:r>
        <w:rPr>
          <w:rFonts w:hint="eastAsia" w:hAnsi="仿宋_GB2312" w:cs="仿宋_GB2312"/>
        </w:rPr>
        <w:t>+进度款”</w:t>
      </w:r>
      <w:r>
        <w:rPr>
          <w:rFonts w:hint="eastAsia" w:hAnsi="仿宋_GB2312" w:cs="仿宋_GB2312"/>
          <w:lang w:val="en-US" w:eastAsia="zh-CN"/>
        </w:rPr>
        <w:t>的</w:t>
      </w:r>
      <w:r>
        <w:rPr>
          <w:rFonts w:hint="eastAsia" w:hAnsi="仿宋_GB2312" w:cs="仿宋_GB2312"/>
        </w:rPr>
        <w:t>扣款方式</w:t>
      </w:r>
      <w:r>
        <w:rPr>
          <w:rFonts w:hint="eastAsia" w:hAnsi="仿宋_GB2312" w:cs="仿宋_GB2312"/>
          <w:lang w:eastAsia="zh-CN"/>
        </w:rPr>
        <w:t>。</w:t>
      </w:r>
      <w:r>
        <w:rPr>
          <w:rFonts w:hint="eastAsia" w:hAnsi="仿宋_GB2312" w:cs="仿宋_GB2312"/>
          <w:lang w:val="en-US" w:eastAsia="zh-CN"/>
        </w:rPr>
        <w:t>即甲方</w:t>
      </w:r>
      <w:r>
        <w:rPr>
          <w:rFonts w:hint="eastAsia" w:hAnsi="仿宋_GB2312" w:cs="仿宋_GB2312"/>
        </w:rPr>
        <w:t>下单后，商城根据该订单采购额度大小，</w:t>
      </w:r>
      <w:r>
        <w:rPr>
          <w:rFonts w:hint="eastAsia" w:hAnsi="仿宋_GB2312" w:cs="仿宋_GB2312"/>
          <w:lang w:val="en-US" w:eastAsia="zh-CN"/>
        </w:rPr>
        <w:t>分阶段</w:t>
      </w:r>
      <w:r>
        <w:rPr>
          <w:rFonts w:hint="eastAsia" w:hAnsi="仿宋_GB2312" w:cs="仿宋_GB2312"/>
        </w:rPr>
        <w:t>从采购单位预存货款中扣除该订单货款。具体如下：</w:t>
      </w:r>
    </w:p>
    <w:p>
      <w:pPr>
        <w:pStyle w:val="9"/>
        <w:numPr>
          <w:ilvl w:val="0"/>
          <w:numId w:val="0"/>
        </w:numPr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a.首付款</w:t>
      </w:r>
    </w:p>
    <w:tbl>
      <w:tblPr>
        <w:tblStyle w:val="7"/>
        <w:tblW w:w="7070" w:type="dxa"/>
        <w:tblInd w:w="7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3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订单金额（万元）</w:t>
            </w:r>
          </w:p>
        </w:tc>
        <w:tc>
          <w:tcPr>
            <w:tcW w:w="3613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首付款（万元）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0-30</w:t>
            </w:r>
          </w:p>
        </w:tc>
        <w:tc>
          <w:tcPr>
            <w:tcW w:w="3613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A*100%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30-100</w:t>
            </w:r>
          </w:p>
        </w:tc>
        <w:tc>
          <w:tcPr>
            <w:tcW w:w="3613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30+(A-30)*50%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100以上</w:t>
            </w:r>
          </w:p>
        </w:tc>
        <w:tc>
          <w:tcPr>
            <w:tcW w:w="3613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65+(A-100)*20%</w:t>
            </w:r>
          </w:p>
        </w:tc>
      </w:tr>
    </w:tbl>
    <w:p>
      <w:pPr>
        <w:pStyle w:val="9"/>
        <w:numPr>
          <w:ilvl w:val="0"/>
          <w:numId w:val="0"/>
        </w:numPr>
        <w:ind w:firstLine="960" w:firstLineChars="400"/>
        <w:jc w:val="left"/>
        <w:rPr>
          <w:rFonts w:hAnsi="黑体"/>
          <w:sz w:val="24"/>
          <w:szCs w:val="24"/>
        </w:rPr>
      </w:pPr>
      <w:r>
        <w:rPr>
          <w:rFonts w:hint="eastAsia" w:hAnsi="黑体"/>
          <w:sz w:val="24"/>
          <w:szCs w:val="24"/>
        </w:rPr>
        <w:t>备注：A为订单金额。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b.进度款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采购订单需支付进度款的，订单商品到货验收合格后，商城在预存款中将进度款全额扣减。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c.质保金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  <w:highlight w:val="none"/>
        </w:rPr>
      </w:pPr>
      <w:r>
        <w:rPr>
          <w:rFonts w:hint="eastAsia" w:hAnsi="仿宋_GB2312" w:cs="仿宋_GB2312"/>
          <w:highlight w:val="none"/>
          <w:lang w:val="en-US" w:eastAsia="zh-CN"/>
        </w:rPr>
        <w:t>商城操作界面在验收节点设置“预留质保金”按钮，</w:t>
      </w:r>
      <w:r>
        <w:rPr>
          <w:rFonts w:hint="eastAsia" w:hAnsi="仿宋_GB2312" w:cs="仿宋_GB2312"/>
          <w:highlight w:val="none"/>
        </w:rPr>
        <w:t>采购订单有质保金的</w:t>
      </w:r>
      <w:r>
        <w:rPr>
          <w:rFonts w:hint="eastAsia" w:hAnsi="仿宋_GB2312" w:cs="仿宋_GB2312"/>
          <w:highlight w:val="none"/>
          <w:lang w:val="en-US" w:eastAsia="zh-CN"/>
        </w:rPr>
        <w:t>且甲方选择了预留质保金</w:t>
      </w:r>
      <w:r>
        <w:rPr>
          <w:rFonts w:hint="eastAsia" w:hAnsi="仿宋_GB2312" w:cs="仿宋_GB2312"/>
          <w:highlight w:val="none"/>
        </w:rPr>
        <w:t>，</w:t>
      </w:r>
      <w:r>
        <w:rPr>
          <w:rFonts w:hint="eastAsia" w:hAnsi="仿宋_GB2312" w:cs="仿宋_GB2312"/>
          <w:highlight w:val="none"/>
          <w:lang w:val="en-US" w:eastAsia="zh-CN"/>
        </w:rPr>
        <w:t>进度款</w:t>
      </w:r>
      <w:r>
        <w:rPr>
          <w:rFonts w:hint="eastAsia" w:hAnsi="仿宋_GB2312" w:cs="仿宋_GB2312"/>
          <w:highlight w:val="none"/>
        </w:rPr>
        <w:t>扣款时预留够质保金，待质保期满且最终验收合格后，商城在预存款中扣减质保金。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4.订单商品需要退货的，待退货完成后，由乙方将退货商品款项返还至甲方预存款资金账户。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  <w:lang w:val="en-US" w:eastAsia="zh-CN"/>
        </w:rPr>
        <w:t>5</w:t>
      </w:r>
      <w:r>
        <w:rPr>
          <w:rFonts w:hint="eastAsia" w:hAnsi="仿宋_GB2312" w:cs="仿宋_GB2312"/>
        </w:rPr>
        <w:t>.乙方收款账户信息：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账户名称：国电（北京）配送中心有限公司   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开户行名称：平安银行北京知春路支行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hAnsi="仿宋_GB2312" w:cs="仿宋_GB2312"/>
          <w:lang w:val="en-US" w:eastAsia="zh-CN"/>
        </w:rPr>
      </w:pPr>
      <w:r>
        <w:rPr>
          <w:rFonts w:hint="eastAsia" w:hAnsi="仿宋_GB2312" w:cs="仿宋_GB2312"/>
          <w:lang w:val="en-US" w:eastAsia="zh-CN"/>
        </w:rPr>
        <w:t>收款账号：</w:t>
      </w:r>
      <w:r>
        <w:rPr>
          <w:rFonts w:hint="eastAsia" w:hAnsi="仿宋_GB2312" w:cs="仿宋_GB2312"/>
          <w:highlight w:val="yellow"/>
          <w:lang w:val="en-US" w:eastAsia="zh-CN"/>
        </w:rPr>
        <w:t xml:space="preserve">                        </w:t>
      </w:r>
      <w:r>
        <w:rPr>
          <w:rFonts w:hint="eastAsia" w:hAnsi="仿宋_GB2312" w:cs="仿宋_GB2312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ind w:firstLine="562" w:firstLineChars="200"/>
        <w:rPr>
          <w:rFonts w:hint="eastAsia" w:hAnsi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hAnsi="仿宋_GB2312" w:cs="仿宋_GB2312"/>
          <w:b/>
          <w:bCs/>
          <w:sz w:val="28"/>
          <w:szCs w:val="28"/>
          <w:highlight w:val="none"/>
          <w:lang w:val="en-US" w:eastAsia="zh-CN"/>
        </w:rPr>
        <w:t>注：乙方收款账号为乙方在商城为甲方配置的资金账户号。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  发票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在商城平台的开票信息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与本合同甲方开票信息一致，若甲方开票信息发生变化时，需与乙方沟通后履行变更手续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2.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甲方在下单前核对开票信息、收票地址和选定发票类型。订单商品到货且商城平台显示“已验收”后，乙方30日内向甲方开具增值税发票。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3.甲方开票信息：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发票抬头名称：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                    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银行账号：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                   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银行开户行名称：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     银行  省  市    支行</w:t>
      </w:r>
    </w:p>
    <w:p>
      <w:pPr>
        <w:adjustRightInd w:val="0"/>
        <w:snapToGrid w:val="0"/>
        <w:spacing w:before="157" w:beforeLines="50" w:line="560" w:lineRule="atLeas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电话号码：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             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纳税人识别号：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  <w:lang w:val="en-US" w:eastAsia="zh-CN"/>
        </w:rPr>
        <w:t xml:space="preserve">                      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乙方开票信息：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名称：国电（北京）配送中心有限公司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纳税人识别号：91110106MA005RPX7Y</w:t>
      </w:r>
    </w:p>
    <w:p>
      <w:pPr>
        <w:adjustRightInd w:val="0"/>
        <w:snapToGrid w:val="0"/>
        <w:spacing w:before="157" w:beforeLines="50" w:line="560" w:lineRule="atLeas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单位地址：北京市丰台区南四环西路188号十二区17号楼2层-1号（园区）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电话号码：010-58688415</w:t>
      </w:r>
    </w:p>
    <w:p>
      <w:pPr>
        <w:adjustRightInd w:val="0"/>
        <w:snapToGrid w:val="0"/>
        <w:spacing w:before="157" w:beforeLines="5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开户银行：建行北京宣武支行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银行账号：11050167360000000932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  配送及交货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1.甲方提供订单邮政可达送货地址，并保证准确。乙方根据甲方订单填写的送货地址组织商品配送，交货地点为甲方指定现场，车板交货。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2.交货周期以实际订单约定为准。商品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在甲方指定地点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交付且经甲方验收后，商品的损毁、灭失风险转移至甲方。</w:t>
      </w:r>
    </w:p>
    <w:p>
      <w:pPr>
        <w:numPr>
          <w:ilvl w:val="0"/>
          <w:numId w:val="3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验收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甲方负责到货商品的验收，并负责将相关验收信息或资料提供给乙方。原则上甲方应在商品到货后7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内完成到货验收，预留质保金的商品在质保到期后15日内完成最终验收。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电子超市商品到货7日自动验收，专区商品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如逾期未完成验收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且甲方在收到乙方书面通知后合理期限内仍未完成验收的，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则视为验收通过，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但货物有严重瑕疵的除外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甲方的权利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与义务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.甲方有权拒绝乙方迟延交货</w:t>
      </w:r>
      <w:r>
        <w:rPr>
          <w:rFonts w:hint="eastAsia" w:hAnsi="仿宋_GB2312" w:cs="仿宋_GB2312"/>
          <w:sz w:val="32"/>
          <w:szCs w:val="32"/>
          <w:lang w:val="en-US" w:eastAsia="zh-CN"/>
        </w:rPr>
        <w:t>的订单商品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</w:t>
      </w:r>
      <w:r>
        <w:rPr>
          <w:rFonts w:hint="eastAsia" w:hAnsi="仿宋_GB2312" w:cs="仿宋_GB2312"/>
          <w:sz w:val="32"/>
          <w:szCs w:val="32"/>
          <w:lang w:val="en-US" w:eastAsia="zh-CN"/>
        </w:rPr>
        <w:t>有权要求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乙方退还此订单货款。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有权向乙方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因数量、质量等与订单信息不符商品的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退换要求，乙方负责售后处理。由于质量问题、数量不足等原因给甲方造成损失的，甲方有权取消相应订单，且有权主张赔偿损失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.甲方负责自身账户监管及采购行为监督，须妥善保管账户信息，</w:t>
      </w:r>
      <w:r>
        <w:rPr>
          <w:rFonts w:hint="eastAsia" w:ascii="仿宋_GB2312" w:eastAsia="仿宋_GB2312"/>
          <w:sz w:val="32"/>
          <w:szCs w:val="32"/>
        </w:rPr>
        <w:t>且对该用户名和密码下发生的所有活动承担责任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因自身原因造成的交易账号泄漏、遗失、公开等产生的损失及后果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甲方自行负责。甲方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严格管理采购计划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</w:rPr>
        <w:t>账户中资金使用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情况与乙方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甲方对其注册账户在国家能源e购商城所下订单的真实性、有效性、准确性承担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责任。不得恶意进行订单操作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扰乱乙方的正常经营。原则上对乙方已排产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已发</w:t>
      </w:r>
      <w:r>
        <w:rPr>
          <w:rFonts w:hint="eastAsia" w:ascii="仿宋_GB2312" w:hAnsi="仿宋_GB2312" w:eastAsia="仿宋_GB2312" w:cs="仿宋_GB2312"/>
          <w:sz w:val="32"/>
          <w:szCs w:val="32"/>
        </w:rPr>
        <w:t>货的订单，甲方不得无故修改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取消订单。由于甲方原因造成无法退换货的，甲方承担全部责任。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5.甲方收到货后，满足验收条件的订单要及时进行验收，并履行对订单的评价。</w:t>
      </w:r>
      <w:r>
        <w:rPr>
          <w:rFonts w:hint="eastAsia" w:ascii="仿宋_GB2312" w:eastAsia="仿宋_GB2312"/>
          <w:sz w:val="32"/>
          <w:szCs w:val="32"/>
          <w:highlight w:val="none"/>
        </w:rPr>
        <w:t>如因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_GB2312" w:eastAsia="仿宋_GB2312"/>
          <w:sz w:val="32"/>
          <w:szCs w:val="32"/>
          <w:highlight w:val="none"/>
        </w:rPr>
        <w:t>提供了错误或不详的邮寄地址，而导致收不到货或延迟到货，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甲方自行</w:t>
      </w:r>
      <w:r>
        <w:rPr>
          <w:rFonts w:hint="eastAsia" w:ascii="仿宋_GB2312" w:eastAsia="仿宋_GB2312"/>
          <w:sz w:val="32"/>
          <w:szCs w:val="32"/>
          <w:highlight w:val="none"/>
        </w:rPr>
        <w:t>承担责任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甲方应确保其资金账户内预存款充足，足以按期支付订单款、首付款、进度款及质保金等，如预存款余额不足，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将无法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在商城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_GB2312" w:eastAsia="仿宋_GB2312"/>
          <w:sz w:val="32"/>
          <w:szCs w:val="32"/>
          <w:highlight w:val="none"/>
        </w:rPr>
        <w:t>方对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自己在</w:t>
      </w:r>
      <w:r>
        <w:rPr>
          <w:rFonts w:hint="eastAsia" w:ascii="仿宋_GB2312" w:eastAsia="仿宋_GB2312"/>
          <w:sz w:val="32"/>
          <w:szCs w:val="32"/>
          <w:highlight w:val="none"/>
        </w:rPr>
        <w:t>商城交易数据等相关信息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负有</w:t>
      </w:r>
      <w:r>
        <w:rPr>
          <w:rFonts w:hint="eastAsia" w:ascii="仿宋_GB2312" w:eastAsia="仿宋_GB2312"/>
          <w:sz w:val="32"/>
          <w:szCs w:val="32"/>
          <w:highlight w:val="none"/>
        </w:rPr>
        <w:t>保密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义务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未经乙方</w:t>
      </w:r>
      <w:r>
        <w:rPr>
          <w:rFonts w:hint="eastAsia" w:ascii="仿宋_GB2312" w:eastAsia="仿宋_GB2312"/>
          <w:sz w:val="32"/>
          <w:szCs w:val="32"/>
          <w:highlight w:val="none"/>
        </w:rPr>
        <w:t>允许不得将交易数据、价格详情等信息对外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透漏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甲方在提起开票申请时应核对发票、收票信息和选定发票类型，因甲方</w:t>
      </w:r>
      <w:r>
        <w:rPr>
          <w:rFonts w:hint="eastAsia" w:ascii="仿宋_GB2312" w:eastAsia="仿宋_GB2312"/>
          <w:sz w:val="32"/>
          <w:szCs w:val="32"/>
        </w:rPr>
        <w:t>提供的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收票</w:t>
      </w:r>
      <w:r>
        <w:rPr>
          <w:rFonts w:hint="eastAsia" w:ascii="仿宋_GB2312" w:eastAsia="仿宋_GB2312"/>
          <w:sz w:val="32"/>
          <w:szCs w:val="32"/>
        </w:rPr>
        <w:t>信息错误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发票类型选择错误</w:t>
      </w:r>
      <w:r>
        <w:rPr>
          <w:rFonts w:hint="eastAsia" w:ascii="仿宋_GB2312" w:eastAsia="仿宋_GB2312"/>
          <w:sz w:val="32"/>
          <w:szCs w:val="32"/>
        </w:rPr>
        <w:t>导致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结算延期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甲方自行承担责任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numPr>
          <w:ilvl w:val="0"/>
          <w:numId w:val="3"/>
        </w:numPr>
        <w:ind w:left="0" w:leftChars="0" w:firstLine="643" w:firstLineChars="200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 xml:space="preserve"> 乙方的权利和义务</w:t>
      </w:r>
      <w:r>
        <w:rPr>
          <w:rFonts w:hint="eastAsia" w:hAnsi="仿宋_GB2312" w:cs="仿宋_GB2312"/>
          <w:b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b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1.乙方负责国家能源e购商城的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铺货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上架</w:t>
      </w:r>
      <w:r>
        <w:rPr>
          <w:rFonts w:hint="eastAsia" w:ascii="仿宋_GB2312" w:hAnsi="仿宋_GB2312" w:eastAsia="仿宋_GB2312" w:cs="仿宋_GB2312"/>
          <w:sz w:val="32"/>
          <w:szCs w:val="32"/>
        </w:rPr>
        <w:t>、信息维护等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商城内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采购的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生产、经营、建设需要。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2.乙方所供商品必须为原厂正品，产品质量不得低于国家标准和原设备制造标准，并满足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的实际需求。</w:t>
      </w:r>
    </w:p>
    <w:p>
      <w:pPr>
        <w:pStyle w:val="2"/>
        <w:ind w:left="0" w:leftChars="0" w:firstLine="640" w:firstLineChars="200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3.乙方有义务在订单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约定期限内将商品送到甲方指定地点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遇</w:t>
      </w:r>
      <w:r>
        <w:rPr>
          <w:rFonts w:hint="eastAsia" w:ascii="仿宋_GB2312" w:eastAsia="仿宋_GB2312"/>
          <w:sz w:val="32"/>
          <w:szCs w:val="32"/>
          <w:highlight w:val="none"/>
        </w:rPr>
        <w:t>不可抗力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台风、自然灾害等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或其他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特殊</w:t>
      </w:r>
      <w:r>
        <w:rPr>
          <w:rFonts w:hint="eastAsia" w:ascii="仿宋_GB2312" w:eastAsia="仿宋_GB2312"/>
          <w:sz w:val="32"/>
          <w:szCs w:val="32"/>
          <w:highlight w:val="none"/>
        </w:rPr>
        <w:t>因素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春节、双十一物流等影响物流的特殊时间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造成订单商品不能按期到货，双方协商解决。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组织协调商城内商品的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生产厂家向甲方提供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技术指导、技术咨询等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.乙方提供商品的三包有效期自发票开具之日起计算，三包有效期内的售后服务严格按照国家新三包规定执行，国家没有规定的按商品生产厂家的标准执行。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  <w:lang w:val="en-US" w:eastAsia="zh-CN"/>
        </w:rPr>
        <w:t>6</w:t>
      </w:r>
      <w:r>
        <w:rPr>
          <w:rFonts w:hint="eastAsia" w:hAnsi="仿宋_GB2312" w:cs="仿宋_GB2312"/>
        </w:rPr>
        <w:t>.</w:t>
      </w:r>
      <w:r>
        <w:rPr>
          <w:rFonts w:hint="eastAsia" w:hAnsi="仿宋_GB2312" w:cs="仿宋_GB2312"/>
          <w:lang w:val="en-US" w:eastAsia="zh-CN"/>
        </w:rPr>
        <w:t>乙方有权对甲</w:t>
      </w:r>
      <w:r>
        <w:rPr>
          <w:rFonts w:hint="eastAsia" w:hAnsi="仿宋_GB2312" w:cs="仿宋_GB2312"/>
        </w:rPr>
        <w:t>方在</w:t>
      </w:r>
      <w:r>
        <w:rPr>
          <w:rFonts w:hint="eastAsia" w:hAnsi="仿宋_GB2312" w:cs="仿宋_GB2312"/>
          <w:lang w:eastAsia="zh-CN"/>
        </w:rPr>
        <w:t>商城</w:t>
      </w:r>
      <w:r>
        <w:rPr>
          <w:rFonts w:hint="eastAsia" w:hAnsi="仿宋_GB2312" w:cs="仿宋_GB2312"/>
        </w:rPr>
        <w:t>平台下单资格被暂停的情况下仍拖欠到期订</w:t>
      </w:r>
      <w:r>
        <w:rPr>
          <w:rFonts w:hint="eastAsia" w:hAnsi="仿宋_GB2312" w:cs="仿宋_GB2312"/>
          <w:highlight w:val="none"/>
        </w:rPr>
        <w:t>单</w:t>
      </w:r>
      <w:r>
        <w:rPr>
          <w:rFonts w:hint="eastAsia" w:hAnsi="仿宋_GB2312" w:cs="仿宋_GB2312"/>
          <w:highlight w:val="none"/>
          <w:lang w:val="en-US" w:eastAsia="zh-CN"/>
        </w:rPr>
        <w:t>货</w:t>
      </w:r>
      <w:r>
        <w:rPr>
          <w:rFonts w:hint="eastAsia" w:hAnsi="仿宋_GB2312" w:cs="仿宋_GB2312"/>
          <w:highlight w:val="none"/>
        </w:rPr>
        <w:t>款</w:t>
      </w:r>
      <w:r>
        <w:rPr>
          <w:rFonts w:hint="eastAsia" w:hAnsi="仿宋_GB2312" w:cs="仿宋_GB2312"/>
          <w:lang w:val="en-US" w:eastAsia="zh-CN"/>
        </w:rPr>
        <w:t>行为</w:t>
      </w:r>
      <w:r>
        <w:rPr>
          <w:rFonts w:hint="eastAsia" w:hAnsi="仿宋_GB2312" w:cs="仿宋_GB2312"/>
        </w:rPr>
        <w:t>，按每逾期30天收取欠款总额3%的违约金。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eastAsia="仿宋_GB2312"/>
          <w:sz w:val="32"/>
          <w:szCs w:val="32"/>
          <w:highlight w:val="none"/>
        </w:rPr>
        <w:t>因不可抗力或其他因素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影响</w:t>
      </w:r>
      <w:r>
        <w:rPr>
          <w:rFonts w:hint="eastAsia"/>
          <w:sz w:val="32"/>
          <w:szCs w:val="32"/>
          <w:highlight w:val="none"/>
          <w:lang w:val="en-US" w:eastAsia="zh-CN"/>
        </w:rPr>
        <w:t>商城无法</w:t>
      </w:r>
      <w:r>
        <w:rPr>
          <w:rFonts w:hint="eastAsia" w:ascii="仿宋_GB2312" w:eastAsia="仿宋_GB2312"/>
          <w:sz w:val="32"/>
          <w:szCs w:val="32"/>
          <w:highlight w:val="none"/>
        </w:rPr>
        <w:t>正常交易时，有权做出暂停交易决定，</w:t>
      </w:r>
      <w:r>
        <w:rPr>
          <w:rFonts w:hint="eastAsia"/>
          <w:sz w:val="32"/>
          <w:szCs w:val="32"/>
          <w:highlight w:val="none"/>
          <w:lang w:val="en-US" w:eastAsia="zh-CN"/>
        </w:rPr>
        <w:t>并有义务向甲方提前告知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  其他约定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1.本合同履行产生的争议，双方可协商解决；协商不成任一方均可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人民法院提起诉讼。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本合同自双方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法定代表人或授权代表人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有效印章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之日起生效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有效期5年。合同执行期满后，双方如有继续合作意愿，需续签本合同，发起日期一般在合同期满前三个月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3.本合同一式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份，甲乙双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方各执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份，具有同等的法律效力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合 同 签 字 页</w:t>
      </w:r>
    </w:p>
    <w:p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7"/>
        <w:tblW w:w="8670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2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 方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 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名称：国电（北京）配送中心有限公司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地址：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北京市丰台区六里桥1号奈伦大厦9层</w:t>
            </w:r>
          </w:p>
          <w:p>
            <w:pPr>
              <w:pStyle w:val="11"/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邮编：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邮编：100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电话：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电话：01058689472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传真： 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</w:trPr>
        <w:tc>
          <w:tcPr>
            <w:tcW w:w="4381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法人或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授权代表人</w:t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签字：</w:t>
            </w:r>
          </w:p>
        </w:tc>
        <w:tc>
          <w:tcPr>
            <w:tcW w:w="4289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法人或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授权代表人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签字日期：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签字日期：</w:t>
            </w:r>
          </w:p>
        </w:tc>
      </w:tr>
    </w:tbl>
    <w:p/>
    <w:p/>
    <w:p/>
    <w:p>
      <w:pPr>
        <w:pStyle w:val="2"/>
      </w:pPr>
    </w:p>
    <w:p/>
    <w:p>
      <w:pPr>
        <w:pStyle w:val="2"/>
        <w:jc w:val="left"/>
      </w:pPr>
    </w:p>
    <w:p/>
    <w:p/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资金账户配置表</w:t>
      </w:r>
    </w:p>
    <w:tbl>
      <w:tblPr>
        <w:tblStyle w:val="8"/>
        <w:tblpPr w:leftFromText="180" w:rightFromText="180" w:vertAnchor="text" w:horzAnchor="page" w:tblpX="934" w:tblpY="583"/>
        <w:tblOverlap w:val="never"/>
        <w:tblW w:w="13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924"/>
        <w:gridCol w:w="2286"/>
        <w:gridCol w:w="2539"/>
        <w:gridCol w:w="2055"/>
        <w:gridCol w:w="95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采购单位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资金账号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发票抬头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用户合同号（如有）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49"/>
                <w:tab w:val="right" w:pos="9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_GB2312" w:eastAsia="仿宋_GB2312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sz w:val="18"/>
          <w:szCs w:val="18"/>
          <w:lang w:val="en-US" w:eastAsia="zh-CN"/>
        </w:rPr>
        <w:t>1、为甲方用户建立账户前，甲方须首先与乙方沟通，乙方根据甲方用户需求特点确定是否由乙方建立账户的组织机构：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360" w:firstLineChars="200"/>
        <w:jc w:val="left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  <w:t xml:space="preserve">1.1 </w:t>
      </w:r>
      <w:r>
        <w:rPr>
          <w:rFonts w:hint="eastAsia" w:cstheme="minorBidi"/>
          <w:kern w:val="2"/>
          <w:sz w:val="18"/>
          <w:szCs w:val="18"/>
          <w:lang w:val="en-US" w:eastAsia="zh-CN" w:bidi="ar-SA"/>
        </w:rPr>
        <w:t>如果甲方用户多、位置区域分散且要求有独立的管理员权限，则先由乙方</w:t>
      </w:r>
      <w:r>
        <w:rPr>
          <w:rFonts w:hint="eastAsia"/>
          <w:sz w:val="18"/>
          <w:szCs w:val="18"/>
          <w:lang w:val="en-US" w:eastAsia="zh-CN"/>
        </w:rPr>
        <w:t>商城运维单位进行组织机构的维护，由甲方进行相应的账套配置，具体规则参照《国家能源e购平台采购单位入驻指南》。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1.2 如果甲方用户不需要有独立的管理员权限，则甲方单位管理员可在部门菜单进行组织机构维护，同时进行相应的账套（影子账套）配置，具体规则参照《国家能源e购平台采购单位入驻指南》。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甲方提交的需商城维护的组织机构名称必须准确，否则商城结算会出现错误。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360" w:firstLineChars="200"/>
        <w:jc w:val="left"/>
        <w:textAlignment w:val="auto"/>
        <w:outlineLvl w:val="9"/>
        <w:rPr>
          <w:rFonts w:hint="eastAsia" w:cstheme="minorBidi"/>
          <w:kern w:val="2"/>
          <w:sz w:val="18"/>
          <w:szCs w:val="18"/>
          <w:lang w:val="en-US" w:eastAsia="zh-CN" w:bidi="ar-SA"/>
        </w:rPr>
      </w:pPr>
      <w:r>
        <w:rPr>
          <w:rFonts w:hint="eastAsia" w:cstheme="minorBidi"/>
          <w:kern w:val="2"/>
          <w:sz w:val="18"/>
          <w:szCs w:val="18"/>
          <w:lang w:val="en-US" w:eastAsia="zh-CN" w:bidi="ar-SA"/>
        </w:rPr>
        <w:t>“发票抬头”名称要求准确，填写结算单位名称（即甲方单位名称）。</w:t>
      </w:r>
    </w:p>
    <w:p>
      <w:pPr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18"/>
          <w:szCs w:val="18"/>
          <w:lang w:val="en-US" w:eastAsia="zh-CN" w:bidi="ar-SA"/>
        </w:rPr>
        <w:t xml:space="preserve">    4、甲方用户一定是非独立结算主体，如是独立结算主体须单独与甲方签订合同。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8F6C7"/>
    <w:multiLevelType w:val="singleLevel"/>
    <w:tmpl w:val="EB18F6C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91F7D11"/>
    <w:multiLevelType w:val="singleLevel"/>
    <w:tmpl w:val="391F7D1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1D4BCE"/>
    <w:multiLevelType w:val="multilevel"/>
    <w:tmpl w:val="4C1D4BCE"/>
    <w:lvl w:ilvl="0" w:tentative="0">
      <w:start w:val="1"/>
      <w:numFmt w:val="japaneseCounting"/>
      <w:pStyle w:val="9"/>
      <w:lvlText w:val="第%1条"/>
      <w:lvlJc w:val="left"/>
      <w:pPr>
        <w:tabs>
          <w:tab w:val="left" w:pos="-490"/>
        </w:tabs>
        <w:ind w:left="2778" w:hanging="178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1" w:tentative="0">
      <w:start w:val="1"/>
      <w:numFmt w:val="japaneseCounting"/>
      <w:lvlText w:val="（%2）"/>
      <w:lvlJc w:val="left"/>
      <w:pPr>
        <w:ind w:left="2143" w:hanging="1080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-840"/>
        </w:tabs>
        <w:ind w:left="1903" w:hanging="420"/>
      </w:pPr>
    </w:lvl>
    <w:lvl w:ilvl="3" w:tentative="0">
      <w:start w:val="1"/>
      <w:numFmt w:val="decimal"/>
      <w:lvlText w:val="%4."/>
      <w:lvlJc w:val="left"/>
      <w:pPr>
        <w:tabs>
          <w:tab w:val="left" w:pos="-840"/>
        </w:tabs>
        <w:ind w:left="232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-840"/>
        </w:tabs>
        <w:ind w:left="274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-840"/>
        </w:tabs>
        <w:ind w:left="3163" w:hanging="420"/>
      </w:pPr>
    </w:lvl>
    <w:lvl w:ilvl="6" w:tentative="0">
      <w:start w:val="1"/>
      <w:numFmt w:val="decimal"/>
      <w:lvlText w:val="%7."/>
      <w:lvlJc w:val="left"/>
      <w:pPr>
        <w:tabs>
          <w:tab w:val="left" w:pos="-840"/>
        </w:tabs>
        <w:ind w:left="358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-840"/>
        </w:tabs>
        <w:ind w:left="400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-840"/>
        </w:tabs>
        <w:ind w:left="4423" w:hanging="420"/>
      </w:pPr>
    </w:lvl>
  </w:abstractNum>
  <w:abstractNum w:abstractNumId="3">
    <w:nsid w:val="5A6CA0CF"/>
    <w:multiLevelType w:val="singleLevel"/>
    <w:tmpl w:val="5A6CA0CF"/>
    <w:lvl w:ilvl="0" w:tentative="0">
      <w:start w:val="7"/>
      <w:numFmt w:val="chineseCounting"/>
      <w:suff w:val="space"/>
      <w:lvlText w:val="第%1条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1A91"/>
    <w:rsid w:val="00922332"/>
    <w:rsid w:val="013758C7"/>
    <w:rsid w:val="02301ADD"/>
    <w:rsid w:val="031B484D"/>
    <w:rsid w:val="04C84029"/>
    <w:rsid w:val="052E7645"/>
    <w:rsid w:val="053B3614"/>
    <w:rsid w:val="0DBE17AA"/>
    <w:rsid w:val="0E1C23F2"/>
    <w:rsid w:val="10835432"/>
    <w:rsid w:val="10A0329C"/>
    <w:rsid w:val="12E06977"/>
    <w:rsid w:val="132F7C2E"/>
    <w:rsid w:val="13E42D4C"/>
    <w:rsid w:val="15014E8B"/>
    <w:rsid w:val="15FC3096"/>
    <w:rsid w:val="161965DB"/>
    <w:rsid w:val="163317C3"/>
    <w:rsid w:val="16B212AF"/>
    <w:rsid w:val="17962BC7"/>
    <w:rsid w:val="18DC7A83"/>
    <w:rsid w:val="18EF6133"/>
    <w:rsid w:val="1A0932A7"/>
    <w:rsid w:val="1A5B2603"/>
    <w:rsid w:val="1B650ADE"/>
    <w:rsid w:val="1BBA56C9"/>
    <w:rsid w:val="1E34386D"/>
    <w:rsid w:val="1EA2171D"/>
    <w:rsid w:val="1FF10814"/>
    <w:rsid w:val="203E1B20"/>
    <w:rsid w:val="20B35395"/>
    <w:rsid w:val="22410E59"/>
    <w:rsid w:val="2241450F"/>
    <w:rsid w:val="23897936"/>
    <w:rsid w:val="23DD704C"/>
    <w:rsid w:val="24D23594"/>
    <w:rsid w:val="26614659"/>
    <w:rsid w:val="26C50265"/>
    <w:rsid w:val="26F27CAD"/>
    <w:rsid w:val="27784AA3"/>
    <w:rsid w:val="27FD7884"/>
    <w:rsid w:val="292A4E79"/>
    <w:rsid w:val="29805E74"/>
    <w:rsid w:val="29A3424F"/>
    <w:rsid w:val="2BF6279B"/>
    <w:rsid w:val="2C0917ED"/>
    <w:rsid w:val="2C781EF1"/>
    <w:rsid w:val="2D013B8D"/>
    <w:rsid w:val="2D17624C"/>
    <w:rsid w:val="319F042F"/>
    <w:rsid w:val="31B157B1"/>
    <w:rsid w:val="336868E6"/>
    <w:rsid w:val="337B1D95"/>
    <w:rsid w:val="340A5550"/>
    <w:rsid w:val="36106482"/>
    <w:rsid w:val="373C2184"/>
    <w:rsid w:val="38B57BFD"/>
    <w:rsid w:val="38FA005B"/>
    <w:rsid w:val="39934A60"/>
    <w:rsid w:val="3D4A3423"/>
    <w:rsid w:val="3FC01FEB"/>
    <w:rsid w:val="40C94723"/>
    <w:rsid w:val="41F978B8"/>
    <w:rsid w:val="427579D9"/>
    <w:rsid w:val="431D463C"/>
    <w:rsid w:val="44D95467"/>
    <w:rsid w:val="47B25FC9"/>
    <w:rsid w:val="47BB045A"/>
    <w:rsid w:val="49A166C6"/>
    <w:rsid w:val="49A9688B"/>
    <w:rsid w:val="4C6A30A6"/>
    <w:rsid w:val="4E597C11"/>
    <w:rsid w:val="4F314C42"/>
    <w:rsid w:val="4FA206BA"/>
    <w:rsid w:val="4FF106A6"/>
    <w:rsid w:val="4FFB3826"/>
    <w:rsid w:val="50016276"/>
    <w:rsid w:val="501E7678"/>
    <w:rsid w:val="50423C69"/>
    <w:rsid w:val="512533C3"/>
    <w:rsid w:val="520202B3"/>
    <w:rsid w:val="53FD1C4E"/>
    <w:rsid w:val="55BC2188"/>
    <w:rsid w:val="5728047A"/>
    <w:rsid w:val="57CA2D5E"/>
    <w:rsid w:val="580048CE"/>
    <w:rsid w:val="59AE7B94"/>
    <w:rsid w:val="59E847AF"/>
    <w:rsid w:val="5A671A91"/>
    <w:rsid w:val="5A8A674A"/>
    <w:rsid w:val="5B0206D1"/>
    <w:rsid w:val="5B3F04A9"/>
    <w:rsid w:val="5C557D63"/>
    <w:rsid w:val="5D373D13"/>
    <w:rsid w:val="5D42260F"/>
    <w:rsid w:val="5DAF5A4C"/>
    <w:rsid w:val="5E2D50B5"/>
    <w:rsid w:val="5E347CE1"/>
    <w:rsid w:val="5E5D0607"/>
    <w:rsid w:val="5F007BD9"/>
    <w:rsid w:val="5F2F5FE9"/>
    <w:rsid w:val="5F9A5889"/>
    <w:rsid w:val="61897691"/>
    <w:rsid w:val="61D31DA7"/>
    <w:rsid w:val="62AE3AE0"/>
    <w:rsid w:val="62E7249A"/>
    <w:rsid w:val="65134B04"/>
    <w:rsid w:val="6702637B"/>
    <w:rsid w:val="691D5E13"/>
    <w:rsid w:val="6A9B193C"/>
    <w:rsid w:val="6AEE3E0E"/>
    <w:rsid w:val="6BDF0B57"/>
    <w:rsid w:val="6DB871D0"/>
    <w:rsid w:val="6E5E15B7"/>
    <w:rsid w:val="70C86A87"/>
    <w:rsid w:val="71397440"/>
    <w:rsid w:val="71B74881"/>
    <w:rsid w:val="72DE539A"/>
    <w:rsid w:val="73FA2D58"/>
    <w:rsid w:val="74617ACA"/>
    <w:rsid w:val="76B63B35"/>
    <w:rsid w:val="76DE0B87"/>
    <w:rsid w:val="77A21BB7"/>
    <w:rsid w:val="78596BEF"/>
    <w:rsid w:val="795D571A"/>
    <w:rsid w:val="79EC62A1"/>
    <w:rsid w:val="7C306F4B"/>
    <w:rsid w:val="7D162AAC"/>
    <w:rsid w:val="7DE45E2C"/>
    <w:rsid w:val="7E6D4662"/>
    <w:rsid w:val="7EA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Calibri" w:eastAsia="宋体" w:cs="Times New Roman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制度编号"/>
    <w:basedOn w:val="10"/>
    <w:qFormat/>
    <w:uiPriority w:val="0"/>
    <w:pPr>
      <w:numPr>
        <w:ilvl w:val="0"/>
        <w:numId w:val="1"/>
      </w:numPr>
      <w:adjustRightInd w:val="0"/>
      <w:snapToGrid w:val="0"/>
      <w:spacing w:line="560" w:lineRule="exact"/>
      <w:ind w:firstLine="0"/>
    </w:pPr>
    <w:rPr>
      <w:rFonts w:ascii="仿宋_GB2312" w:hAnsi="Calibri" w:eastAsia="仿宋_GB2312" w:cs="Arial"/>
      <w:sz w:val="32"/>
      <w:szCs w:val="32"/>
    </w:rPr>
  </w:style>
  <w:style w:type="paragraph" w:customStyle="1" w:styleId="10">
    <w:name w:val="列出段落1"/>
    <w:basedOn w:val="1"/>
    <w:qFormat/>
    <w:uiPriority w:val="0"/>
    <w:pPr>
      <w:spacing w:line="240" w:lineRule="atLeast"/>
      <w:ind w:firstLine="200" w:firstLineChars="200"/>
    </w:pPr>
    <w:rPr>
      <w:rFonts w:eastAsia="仿宋_GB2312"/>
      <w:sz w:val="32"/>
      <w:szCs w:val="20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cg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2019-10-09T08:14:00Z</dcterms:created>
  <dc:creator>CG</dc:creator>
  <cp:lastModifiedBy>CG</cp:lastModifiedBy>
  <cp:lastPrinted>2019-12-17T10:02:00Z</cp:lastPrinted>
  <dcterms:modified xsi:type="dcterms:W3CDTF">2020-01-06T01:14:54Z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